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Patent cases are different today and need updated courts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William </w:t>
      </w:r>
      <w:r>
        <w:rPr>
          <w:b/>
          <w:i w:val="0"/>
          <w:smallCaps w:val="0"/>
          <w:strike w:val="0"/>
          <w:u w:val="none"/>
        </w:rPr>
        <w:t xml:space="preserve">Alsup,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u w:val="none"/>
        </w:rPr>
        <w:t xml:space="preserve">19 – </w:t>
      </w:r>
      <w:r>
        <w:rPr>
          <w:b w:val="0"/>
          <w:i w:val="0"/>
          <w:smallCaps w:val="0"/>
          <w:strike w:val="0"/>
          <w:u w:val="none"/>
        </w:rPr>
        <w:t>United States district judge of Northern District of California; “Huge Numbers of Patent Cases: How One District Judge Manages Them - The 2018 Supreme Court IP Review Address”; https://scholarship.kentlaw.iit.edu/cgi/viewcontent.cgi?article=1220&amp;context=ckjip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 share that story to illustrate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when it comes to picking a jury, one side is going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want somebody that they can bamboozle; 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want to knock the people off who can actually understand the patent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understand the science and where the motor uses whatever it is that the motor uses.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Another major difference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competitor-competitor suits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are less common today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These companies have now built up their own arsenal of patents—so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company asserting patents against a competitor could lead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mutual destruction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that dynamic is not present with non-practicing entities—they do not have any products of their own, so they have nothing to lose.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much of patent litigation today is brought 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non-practicing entities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they will sue everyone in the industry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has an analog to digital conversion or who has a motor or power supply on the theory that somewhere in your product</w:t>
      </w:r>
      <w:r>
        <w:rPr>
          <w:b w:val="0"/>
          <w:i w:val="0"/>
          <w:smallCaps w:val="0"/>
          <w:strike w:val="0"/>
          <w:sz w:val="16"/>
          <w:u w:val="none"/>
        </w:rPr>
        <w:t>, you will infringe one of the many patents in the portfolio. That’s another difference between then and now. Back when I had that conversation with my friend, Mike Jacobs, in the late ‘80s at Morrison &amp; Forester when he said, “Look, we need to have an IP department,” the whole idea of a non-practicing entity hadn’t even developed yet.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