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Current IP courts are easily affected by influences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Jacques de </w:t>
      </w:r>
      <w:r>
        <w:rPr>
          <w:b/>
          <w:i w:val="0"/>
          <w:smallCaps w:val="0"/>
          <w:strike w:val="0"/>
          <w:u w:val="none"/>
        </w:rPr>
        <w:t xml:space="preserve">Warra,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u w:val="none"/>
        </w:rPr>
        <w:t xml:space="preserve">16 – </w:t>
      </w:r>
      <w:r>
        <w:rPr>
          <w:b w:val="0"/>
          <w:i w:val="0"/>
          <w:smallCaps w:val="0"/>
          <w:strike w:val="0"/>
          <w:u w:val="none"/>
        </w:rPr>
        <w:t xml:space="preserve">Professor of Contract Law and Intellectual Property Law at the University of Geneva; “Specialized Intellectual Property Courts – Issues and Challenges”;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Another risk is that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 specialised court may be </w:t>
      </w:r>
      <w:r>
        <w:rPr>
          <w:b w:val="0"/>
          <w:i w:val="0"/>
          <w:smallCaps w:val="0"/>
          <w:strike w:val="0"/>
          <w:u w:val="single"/>
        </w:rPr>
        <w:t xml:space="preserve">more easily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subject to </w:t>
      </w:r>
      <w:r>
        <w:rPr>
          <w:b/>
          <w:i w:val="0"/>
          <w:smallCaps w:val="0"/>
          <w:strike w:val="0"/>
          <w:highlight w:val="cyan"/>
          <w:u w:val="single"/>
        </w:rPr>
        <w:t>political or economic influences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64 This is due to the fact that </w:t>
      </w:r>
      <w:r>
        <w:rPr>
          <w:b w:val="0"/>
          <w:i w:val="0"/>
          <w:smallCaps w:val="0"/>
          <w:strike w:val="0"/>
          <w:highlight w:val="cyan"/>
          <w:u w:val="single"/>
        </w:rPr>
        <w:t>generalist courts are</w:t>
      </w:r>
      <w:r>
        <w:rPr>
          <w:b w:val="0"/>
          <w:i w:val="0"/>
          <w:smallCaps w:val="0"/>
          <w:strike w:val="0"/>
          <w:u w:val="single"/>
        </w:rPr>
        <w:t xml:space="preserve"> often considered to be </w:t>
      </w:r>
      <w:r>
        <w:rPr>
          <w:b w:val="0"/>
          <w:i w:val="0"/>
          <w:smallCaps w:val="0"/>
          <w:strike w:val="0"/>
          <w:highlight w:val="cyan"/>
          <w:u w:val="single"/>
        </w:rPr>
        <w:t>more independent than specialised courts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.65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This risk can materialize </w:t>
      </w:r>
      <w:r>
        <w:rPr>
          <w:b/>
          <w:i w:val="0"/>
          <w:smallCaps w:val="0"/>
          <w:strike w:val="0"/>
          <w:highlight w:val="cyan"/>
          <w:u w:val="single"/>
        </w:rPr>
        <w:t>ex ante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u w:val="single"/>
        </w:rPr>
        <w:t xml:space="preserve"> that is, in the </w:t>
      </w:r>
      <w:r>
        <w:rPr>
          <w:b w:val="0"/>
          <w:i w:val="0"/>
          <w:smallCaps w:val="0"/>
          <w:strike w:val="0"/>
          <w:highlight w:val="cyan"/>
          <w:u w:val="single"/>
        </w:rPr>
        <w:t>process of appointing judges to the specialised court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.66 The risk can also materialise subsequently because of the closer interaction between counsel and judges before a specialised court.67 </w:t>
      </w:r>
      <w:r>
        <w:rPr>
          <w:b w:val="0"/>
          <w:i w:val="0"/>
          <w:smallCaps w:val="0"/>
          <w:strike w:val="0"/>
          <w:highlight w:val="cyan"/>
          <w:u w:val="single"/>
        </w:rPr>
        <w:t>Such interaction may be problematic and detrimental to the court’s legitimacy</w:t>
      </w:r>
      <w:r>
        <w:rPr>
          <w:b w:val="0"/>
          <w:i w:val="0"/>
          <w:smallCaps w:val="0"/>
          <w:strike w:val="0"/>
          <w:u w:val="single"/>
        </w:rPr>
        <w:t xml:space="preserve">,68 as </w:t>
      </w:r>
      <w:r>
        <w:rPr>
          <w:b w:val="0"/>
          <w:i w:val="0"/>
          <w:smallCaps w:val="0"/>
          <w:strike w:val="0"/>
          <w:highlight w:val="cyan"/>
          <w:u w:val="single"/>
        </w:rPr>
        <w:t>it generates a risk that the courts will become ‘captured’ by special interest groups to the detriment of broader societal interests.</w:t>
      </w:r>
      <w:r>
        <w:rPr>
          <w:b w:val="0"/>
          <w:i w:val="0"/>
          <w:smallCaps w:val="0"/>
          <w:strike w:val="0"/>
          <w:sz w:val="16"/>
          <w:u w:val="none"/>
        </w:rPr>
        <w:t>69 The capture may materialise itself in a (perceived) loss of independence and bias towards certain frequent players and stakeholders. From this perspective, it is suggested that generalist courts can provide the ‘antidote’ to this risk.70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