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decreases product innovation and profits.</w:t>
      </w:r>
    </w:p>
    <w:p>
      <w:pPr>
        <w:spacing w:after="80"/>
      </w:pPr>
      <w:r>
        <w:rPr>
          <w:b/>
          <w:i w:val="0"/>
          <w:smallCaps w:val="0"/>
          <w:strike w:val="0"/>
          <w:sz w:val="26"/>
          <w:u w:val="none"/>
        </w:rPr>
        <w:t>Katila ’</w:t>
      </w:r>
      <w:r>
        <w:rPr>
          <w:b/>
          <w:i w:val="0"/>
          <w:smallCaps w:val="0"/>
          <w:strike w:val="0"/>
          <w:sz w:val="26"/>
          <w:u w:val="none"/>
        </w:rPr>
        <w:t>23</w:t>
      </w:r>
      <w:r>
        <w:rPr>
          <w:b/>
          <w:i w:val="0"/>
          <w:smallCaps w:val="0"/>
          <w:strike w:val="0"/>
          <w:sz w:val="26"/>
          <w:u w:val="none"/>
        </w:rPr>
        <w:t xml:space="preserve"> </w:t>
      </w:r>
      <w:r>
        <w:rPr>
          <w:b w:val="0"/>
          <w:i w:val="0"/>
          <w:smallCaps w:val="0"/>
          <w:strike w:val="0"/>
          <w:sz w:val="22"/>
          <w:u w:val="none"/>
        </w:rPr>
        <w:t xml:space="preserve">[Ritta and </w:t>
      </w:r>
      <w:r>
        <w:rPr>
          <w:b w:val="0"/>
          <w:i w:val="0"/>
          <w:smallCaps w:val="0"/>
          <w:strike w:val="0"/>
          <w:sz w:val="22"/>
          <w:u w:val="none"/>
        </w:rPr>
        <w:t>Sruthi Thatchenkery</w:t>
      </w:r>
      <w:r>
        <w:rPr>
          <w:b w:val="0"/>
          <w:i w:val="0"/>
          <w:smallCaps w:val="0"/>
          <w:strike w:val="0"/>
          <w:sz w:val="22"/>
          <w:u w:val="none"/>
        </w:rPr>
        <w:t xml:space="preserve">; February 24; </w:t>
      </w:r>
      <w:r>
        <w:rPr>
          <w:b w:val="0"/>
          <w:i w:val="0"/>
          <w:smallCaps w:val="0"/>
          <w:strike w:val="0"/>
          <w:sz w:val="22"/>
          <w:u w:val="none"/>
        </w:rPr>
        <w:t>Professor of Management Science, Faculty Director of the Stanford Technology Ventures Program</w:t>
      </w:r>
      <w:r>
        <w:rPr>
          <w:b w:val="0"/>
          <w:i w:val="0"/>
          <w:smallCaps w:val="0"/>
          <w:strike w:val="0"/>
          <w:sz w:val="22"/>
          <w:u w:val="none"/>
        </w:rPr>
        <w:t xml:space="preserve">. </w:t>
      </w:r>
      <w:r>
        <w:rPr>
          <w:b w:val="0"/>
          <w:i w:val="0"/>
          <w:smallCaps w:val="0"/>
          <w:strike w:val="0"/>
          <w:sz w:val="22"/>
          <w:u w:val="none"/>
        </w:rPr>
        <w:t>Her research is in the intersection of technology strategy and organizational learning, using machine learning, statistical analysis and mixed methods. She is an expert on innovation, competition, and entrepreneurship in large firms</w:t>
      </w:r>
      <w:r>
        <w:rPr>
          <w:b w:val="0"/>
          <w:i w:val="0"/>
          <w:smallCaps w:val="0"/>
          <w:strike w:val="0"/>
          <w:sz w:val="22"/>
          <w:u w:val="none"/>
        </w:rPr>
        <w:t xml:space="preserve">; Had a doctoral </w:t>
      </w:r>
      <w:r>
        <w:rPr>
          <w:b w:val="0"/>
          <w:i w:val="0"/>
          <w:smallCaps w:val="0"/>
          <w:strike w:val="0"/>
          <w:sz w:val="22"/>
          <w:u w:val="none"/>
        </w:rPr>
        <w:t xml:space="preserve">dissertation </w:t>
      </w:r>
      <w:r>
        <w:rPr>
          <w:b w:val="0"/>
          <w:i w:val="0"/>
          <w:smallCaps w:val="0"/>
          <w:strike w:val="0"/>
          <w:sz w:val="22"/>
          <w:u w:val="none"/>
        </w:rPr>
        <w:t xml:space="preserve">that </w:t>
      </w:r>
      <w:r>
        <w:rPr>
          <w:b w:val="0"/>
          <w:i w:val="0"/>
          <w:smallCaps w:val="0"/>
          <w:strike w:val="0"/>
          <w:sz w:val="22"/>
          <w:u w:val="none"/>
        </w:rPr>
        <w:t>was the winner of the Wiley Blackwell Outstanding Dissertation Award from the Strategic Management division of the Academy of Management</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studies h</w:t>
      </w:r>
      <w:r>
        <w:rPr>
          <w:b w:val="0"/>
          <w:i w:val="0"/>
          <w:smallCaps w:val="0"/>
          <w:strike w:val="0"/>
          <w:sz w:val="22"/>
          <w:u w:val="none"/>
        </w:rPr>
        <w:t>ow firms can best compete and innovate in high-tech industries</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Harvard Business Review, “</w:t>
      </w:r>
      <w:r>
        <w:rPr>
          <w:b w:val="0"/>
          <w:i w:val="0"/>
          <w:smallCaps w:val="0"/>
          <w:strike w:val="0"/>
          <w:sz w:val="22"/>
          <w:u w:val="none"/>
        </w:rPr>
        <w:t>The Surprising Consequences of Antitrust Actions Against Big Tech</w:t>
      </w:r>
      <w:r>
        <w:rPr>
          <w:b w:val="0"/>
          <w:i w:val="0"/>
          <w:smallCaps w:val="0"/>
          <w:strike w:val="0"/>
          <w:sz w:val="22"/>
          <w:u w:val="none"/>
        </w:rPr>
        <w:t xml:space="preserve">,” </w:t>
      </w:r>
      <w:r>
        <w:rPr>
          <w:b w:val="0"/>
          <w:i w:val="0"/>
          <w:smallCaps w:val="0"/>
          <w:strike w:val="0"/>
          <w:sz w:val="22"/>
          <w:u w:val="none"/>
        </w:rPr>
        <w:t>https://hbr.org/2023/02/the-surprising-consequences-of-antitrust-actions-against-big-tech]//av</w:t>
      </w:r>
    </w:p>
    <w:p>
      <w:pPr>
        <w:spacing w:after="60"/>
      </w:pPr>
      <w:r>
        <w:rPr>
          <w:b w:val="0"/>
          <w:i w:val="0"/>
          <w:smallCaps w:val="0"/>
          <w:strike w:val="0"/>
          <w:sz w:val="16"/>
          <w:u w:val="none"/>
        </w:rPr>
        <w:t xml:space="preserve">But those patents didn’t lead to successful products. </w:t>
      </w:r>
      <w:r>
        <w:rPr>
          <w:b w:val="0"/>
          <w:i w:val="0"/>
          <w:smallCaps w:val="0"/>
          <w:strike w:val="0"/>
          <w:sz w:val="22"/>
          <w:highlight w:val="cyan"/>
          <w:u w:val="single"/>
        </w:rPr>
        <w:t xml:space="preserve">Commercialization did </w:t>
      </w:r>
      <w:r>
        <w:rPr>
          <w:b/>
          <w:i w:val="0"/>
          <w:smallCaps w:val="0"/>
          <w:strike w:val="0"/>
          <w:sz w:val="24"/>
          <w:highlight w:val="cyan"/>
          <w:u w:val="single"/>
        </w:rPr>
        <w:t>not increase</w:t>
      </w:r>
      <w:r>
        <w:rPr>
          <w:b w:val="0"/>
          <w:i w:val="0"/>
          <w:smallCaps w:val="0"/>
          <w:strike w:val="0"/>
          <w:sz w:val="16"/>
          <w:u w:val="none"/>
        </w:rPr>
        <w:t xml:space="preserve"> in the treated markets, (and there was no difference between low- and high-market-share complementors.) What’s more, we found that most </w:t>
      </w:r>
      <w:r>
        <w:rPr>
          <w:b w:val="0"/>
          <w:i w:val="0"/>
          <w:smallCaps w:val="0"/>
          <w:strike w:val="0"/>
          <w:sz w:val="22"/>
          <w:u w:val="single"/>
        </w:rPr>
        <w:t xml:space="preserve">everyone’s </w:t>
      </w:r>
      <w:r>
        <w:rPr>
          <w:b/>
          <w:i w:val="0"/>
          <w:smallCaps w:val="0"/>
          <w:strike w:val="0"/>
          <w:sz w:val="24"/>
          <w:highlight w:val="cyan"/>
          <w:u w:val="single"/>
        </w:rPr>
        <w:t>profits declined</w:t>
      </w:r>
      <w:r>
        <w:rPr>
          <w:b w:val="0"/>
          <w:i w:val="0"/>
          <w:smallCaps w:val="0"/>
          <w:strike w:val="0"/>
          <w:sz w:val="16"/>
          <w:u w:val="none"/>
        </w:rPr>
        <w:t xml:space="preserve"> </w:t>
      </w:r>
      <w:r>
        <w:rPr>
          <w:b w:val="0"/>
          <w:i w:val="0"/>
          <w:smallCaps w:val="0"/>
          <w:strike w:val="0"/>
          <w:sz w:val="22"/>
          <w:u w:val="single"/>
        </w:rPr>
        <w:t xml:space="preserve">— </w:t>
      </w:r>
      <w:r>
        <w:rPr>
          <w:b w:val="0"/>
          <w:i w:val="0"/>
          <w:smallCaps w:val="0"/>
          <w:strike w:val="0"/>
          <w:sz w:val="22"/>
          <w:u w:val="single"/>
        </w:rPr>
        <w:t>especially</w:t>
      </w:r>
      <w:r>
        <w:rPr>
          <w:b w:val="0"/>
          <w:i w:val="0"/>
          <w:smallCaps w:val="0"/>
          <w:strike w:val="0"/>
          <w:sz w:val="22"/>
          <w:u w:val="single"/>
        </w:rPr>
        <w:t xml:space="preserve"> those of </w:t>
      </w:r>
      <w:r>
        <w:rPr>
          <w:b w:val="0"/>
          <w:i w:val="0"/>
          <w:smallCaps w:val="0"/>
          <w:strike w:val="0"/>
          <w:sz w:val="22"/>
          <w:u w:val="single"/>
        </w:rPr>
        <w:t>complementors</w:t>
      </w:r>
      <w:r>
        <w:rPr>
          <w:b w:val="0"/>
          <w:i w:val="0"/>
          <w:smallCaps w:val="0"/>
          <w:strike w:val="0"/>
          <w:sz w:val="16"/>
          <w:u w:val="none"/>
        </w:rPr>
        <w:t xml:space="preserve"> with low market shares, who, in theory, should have been the beneficiaries of the </w:t>
      </w:r>
      <w:r>
        <w:rPr>
          <w:b w:val="0"/>
          <w:i w:val="0"/>
          <w:smallCaps w:val="0"/>
          <w:strike w:val="0"/>
          <w:sz w:val="22"/>
          <w:highlight w:val="cyan"/>
          <w:u w:val="single"/>
        </w:rPr>
        <w:t>antitrust</w:t>
      </w:r>
      <w:r>
        <w:rPr>
          <w:b w:val="0"/>
          <w:i w:val="0"/>
          <w:smallCaps w:val="0"/>
          <w:strike w:val="0"/>
          <w:sz w:val="16"/>
          <w:u w:val="none"/>
        </w:rPr>
        <w:t xml:space="preserve"> action. Despite being the most innovative of the bunch, they </w:t>
      </w:r>
      <w:r>
        <w:rPr>
          <w:b w:val="0"/>
          <w:i w:val="0"/>
          <w:smallCaps w:val="0"/>
          <w:strike w:val="0"/>
          <w:sz w:val="22"/>
          <w:highlight w:val="cyan"/>
          <w:u w:val="single"/>
        </w:rPr>
        <w:t>failed</w:t>
      </w:r>
      <w:r>
        <w:rPr>
          <w:b w:val="0"/>
          <w:i w:val="0"/>
          <w:smallCaps w:val="0"/>
          <w:strike w:val="0"/>
          <w:sz w:val="22"/>
          <w:u w:val="single"/>
        </w:rPr>
        <w:t xml:space="preserve"> to thrive</w:t>
      </w:r>
      <w:r>
        <w:rPr>
          <w:b w:val="0"/>
          <w:i w:val="0"/>
          <w:smallCaps w:val="0"/>
          <w:strike w:val="0"/>
          <w:sz w:val="16"/>
          <w:u w:val="none"/>
        </w:rPr>
        <w:t xml:space="preserve">. In contrast, the </w:t>
      </w:r>
      <w:r>
        <w:rPr>
          <w:b/>
          <w:i w:val="0"/>
          <w:smallCaps w:val="0"/>
          <w:strike w:val="0"/>
          <w:sz w:val="24"/>
          <w:highlight w:val="cyan"/>
          <w:u w:val="single"/>
        </w:rPr>
        <w:t>big</w:t>
      </w:r>
      <w:r>
        <w:rPr>
          <w:b/>
          <w:i w:val="0"/>
          <w:smallCaps w:val="0"/>
          <w:strike w:val="0"/>
          <w:sz w:val="24"/>
          <w:u w:val="single"/>
        </w:rPr>
        <w:t xml:space="preserve">ger </w:t>
      </w:r>
      <w:r>
        <w:rPr>
          <w:b/>
          <w:i w:val="0"/>
          <w:smallCaps w:val="0"/>
          <w:strike w:val="0"/>
          <w:sz w:val="24"/>
          <w:highlight w:val="cyan"/>
          <w:u w:val="single"/>
        </w:rPr>
        <w:t>players</w:t>
      </w:r>
      <w:r>
        <w:rPr>
          <w:b w:val="0"/>
          <w:i w:val="0"/>
          <w:smallCaps w:val="0"/>
          <w:strike w:val="0"/>
          <w:sz w:val="16"/>
          <w:u w:val="none"/>
        </w:rPr>
        <w:t xml:space="preserve"> who had been nipping at Microsoft’s heels did not patent significantly more after the antitrust settlement than they had before, but they didn’t see the drastic profitability decreases either. If anything, because they </w:t>
      </w:r>
      <w:r>
        <w:rPr>
          <w:b w:val="0"/>
          <w:i w:val="0"/>
          <w:smallCaps w:val="0"/>
          <w:strike w:val="0"/>
          <w:sz w:val="22"/>
          <w:u w:val="single"/>
        </w:rPr>
        <w:t xml:space="preserve">did </w:t>
      </w:r>
      <w:r>
        <w:rPr>
          <w:b/>
          <w:i w:val="0"/>
          <w:smallCaps w:val="0"/>
          <w:strike w:val="0"/>
          <w:sz w:val="24"/>
          <w:highlight w:val="cyan"/>
          <w:u w:val="single"/>
        </w:rPr>
        <w:t>not increase</w:t>
      </w:r>
      <w:r>
        <w:rPr>
          <w:b w:val="0"/>
          <w:i w:val="0"/>
          <w:smallCaps w:val="0"/>
          <w:strike w:val="0"/>
          <w:sz w:val="22"/>
          <w:u w:val="single"/>
        </w:rPr>
        <w:t xml:space="preserve"> their investment in </w:t>
      </w:r>
      <w:r>
        <w:rPr>
          <w:b/>
          <w:i w:val="0"/>
          <w:smallCaps w:val="0"/>
          <w:strike w:val="0"/>
          <w:sz w:val="24"/>
          <w:highlight w:val="cyan"/>
          <w:u w:val="single"/>
        </w:rPr>
        <w:t>innovation</w:t>
      </w:r>
      <w:r>
        <w:rPr>
          <w:b w:val="0"/>
          <w:i w:val="0"/>
          <w:smallCaps w:val="0"/>
          <w:strike w:val="0"/>
          <w:sz w:val="16"/>
          <w:u w:val="none"/>
        </w:rPr>
        <w:t xml:space="preserve">, the big players seem to have benefited most from the antitrust case against Microsoft by becoming more efficient, </w:t>
      </w:r>
      <w:r>
        <w:rPr>
          <w:b w:val="0"/>
          <w:i w:val="0"/>
          <w:smallCaps w:val="0"/>
          <w:strike w:val="0"/>
          <w:sz w:val="22"/>
          <w:u w:val="single"/>
        </w:rPr>
        <w:t>not more innovative</w:t>
      </w:r>
      <w:r>
        <w:rPr>
          <w:b w:val="0"/>
          <w:i w:val="0"/>
          <w:smallCaps w:val="0"/>
          <w:strike w:val="0"/>
          <w:sz w:val="16"/>
          <w:u w:val="none"/>
        </w:rPr>
        <w:t>.</w:t>
      </w:r>
    </w:p>
    <w:p>
      <w:pPr>
        <w:spacing w:after="60"/>
      </w:pPr>
      <w:r>
        <w:rPr>
          <w:b w:val="0"/>
          <w:i w:val="0"/>
          <w:smallCaps w:val="0"/>
          <w:strike w:val="0"/>
          <w:sz w:val="16"/>
          <w:u w:val="none"/>
        </w:rPr>
        <w:t xml:space="preserve">And finally, </w:t>
      </w:r>
      <w:r>
        <w:rPr>
          <w:b w:val="0"/>
          <w:i w:val="0"/>
          <w:smallCaps w:val="0"/>
          <w:strike w:val="0"/>
          <w:sz w:val="22"/>
          <w:u w:val="single"/>
        </w:rPr>
        <w:t xml:space="preserve">although regulators might have hoped to see </w:t>
      </w:r>
      <w:r>
        <w:rPr>
          <w:b/>
          <w:i w:val="0"/>
          <w:smallCaps w:val="0"/>
          <w:strike w:val="0"/>
          <w:sz w:val="24"/>
          <w:highlight w:val="cyan"/>
          <w:u w:val="single"/>
        </w:rPr>
        <w:t>new companies</w:t>
      </w:r>
      <w:r>
        <w:rPr>
          <w:b w:val="0"/>
          <w:i w:val="0"/>
          <w:smallCaps w:val="0"/>
          <w:strike w:val="0"/>
          <w:sz w:val="16"/>
          <w:u w:val="none"/>
        </w:rPr>
        <w:t xml:space="preserve"> enter the treated markets, </w:t>
      </w:r>
      <w:r>
        <w:rPr>
          <w:b w:val="0"/>
          <w:i w:val="0"/>
          <w:smallCaps w:val="0"/>
          <w:strike w:val="0"/>
          <w:sz w:val="22"/>
          <w:u w:val="single"/>
        </w:rPr>
        <w:t xml:space="preserve">it </w:t>
      </w:r>
      <w:r>
        <w:rPr>
          <w:b/>
          <w:i w:val="0"/>
          <w:smallCaps w:val="0"/>
          <w:strike w:val="0"/>
          <w:sz w:val="24"/>
          <w:highlight w:val="cyan"/>
          <w:u w:val="single"/>
        </w:rPr>
        <w:t>didn’t happen</w:t>
      </w:r>
      <w:r>
        <w:rPr>
          <w:b w:val="0"/>
          <w:i w:val="0"/>
          <w:smallCaps w:val="0"/>
          <w:strike w:val="0"/>
          <w:sz w:val="16"/>
          <w:u w:val="none"/>
        </w:rPr>
        <w:t>. The number of firms moving into the markets, we found, did not increase following the settlement, another consumer-benefiting outcome that failed to materialize.</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