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demolishes global competition</w:t>
      </w:r>
      <w:r>
        <w:rPr>
          <w:b w:val="0"/>
          <w:i w:val="0"/>
          <w:smallCaps w:val="0"/>
          <w:strike w:val="0"/>
          <w:sz w:val="26"/>
          <w:u w:val="none"/>
        </w:rPr>
        <w:t xml:space="preserve"> – indicts the FTC.</w:t>
      </w:r>
    </w:p>
    <w:p>
      <w:pPr>
        <w:spacing w:after="80"/>
      </w:pPr>
      <w:r>
        <w:rPr>
          <w:b/>
          <w:i w:val="0"/>
          <w:smallCaps w:val="0"/>
          <w:strike w:val="0"/>
          <w:sz w:val="26"/>
          <w:u w:val="none"/>
        </w:rPr>
        <w:t>Tian</w:t>
      </w:r>
      <w:r>
        <w:rPr>
          <w:b/>
          <w:i w:val="0"/>
          <w:smallCaps w:val="0"/>
          <w:strike w:val="0"/>
          <w:sz w:val="26"/>
          <w:u w:val="none"/>
        </w:rPr>
        <w:t xml:space="preserve"> ’</w:t>
      </w:r>
      <w:r>
        <w:rPr>
          <w:b/>
          <w:i w:val="0"/>
          <w:smallCaps w:val="0"/>
          <w:strike w:val="0"/>
          <w:sz w:val="26"/>
          <w:u w:val="none"/>
        </w:rPr>
        <w:t>23</w:t>
      </w:r>
      <w:r>
        <w:rPr>
          <w:b/>
          <w:i w:val="0"/>
          <w:smallCaps w:val="0"/>
          <w:strike w:val="0"/>
          <w:sz w:val="26"/>
          <w:u w:val="none"/>
        </w:rPr>
        <w:t xml:space="preserve"> </w:t>
      </w:r>
      <w:r>
        <w:rPr>
          <w:b w:val="0"/>
          <w:i w:val="0"/>
          <w:smallCaps w:val="0"/>
          <w:strike w:val="0"/>
          <w:sz w:val="22"/>
          <w:u w:val="none"/>
        </w:rPr>
        <w:t>[Steven and Jeffrey Sonnenfeld; December 13;</w:t>
      </w:r>
      <w:r>
        <w:rPr>
          <w:b w:val="0"/>
          <w:i w:val="0"/>
          <w:smallCaps w:val="0"/>
          <w:strike w:val="0"/>
          <w:color w:val="1F2021"/>
          <w:sz w:val="21"/>
          <w:u w:val="none"/>
        </w:rPr>
        <w:t xml:space="preserve"> </w:t>
      </w:r>
      <w:r>
        <w:rPr>
          <w:b w:val="0"/>
          <w:i w:val="0"/>
          <w:smallCaps w:val="0"/>
          <w:strike w:val="0"/>
          <w:sz w:val="22"/>
          <w:u w:val="none"/>
        </w:rPr>
        <w:t>Director of Research, Chief Executive Leadership Institute</w:t>
      </w:r>
      <w:r>
        <w:rPr>
          <w:b w:val="0"/>
          <w:i w:val="0"/>
          <w:smallCaps w:val="0"/>
          <w:strike w:val="0"/>
          <w:sz w:val="22"/>
          <w:u w:val="none"/>
        </w:rPr>
        <w:t xml:space="preserve">; </w:t>
      </w:r>
      <w:r>
        <w:rPr>
          <w:b w:val="0"/>
          <w:i w:val="0"/>
          <w:smallCaps w:val="0"/>
          <w:strike w:val="0"/>
          <w:sz w:val="22"/>
          <w:u w:val="none"/>
        </w:rPr>
        <w:t>Senior Associate Dean for Leadership Studies &amp; Lester Crown Professor in the Practice of Management</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Yale Insights, “</w:t>
      </w:r>
      <w:r>
        <w:rPr>
          <w:b w:val="0"/>
          <w:i w:val="0"/>
          <w:smallCaps w:val="0"/>
          <w:strike w:val="0"/>
          <w:sz w:val="22"/>
          <w:u w:val="none"/>
        </w:rPr>
        <w:t>The FTC’s Antitrust Overreach Is Hurting U.S. Competitiveness and Destroying Value</w:t>
      </w:r>
      <w:r>
        <w:rPr>
          <w:b w:val="0"/>
          <w:i w:val="0"/>
          <w:smallCaps w:val="0"/>
          <w:strike w:val="0"/>
          <w:sz w:val="22"/>
          <w:u w:val="none"/>
        </w:rPr>
        <w:t xml:space="preserve">,” </w:t>
      </w:r>
      <w:r>
        <w:rPr>
          <w:b w:val="0"/>
          <w:i w:val="0"/>
          <w:smallCaps w:val="0"/>
          <w:strike w:val="0"/>
          <w:sz w:val="22"/>
          <w:u w:val="none"/>
        </w:rPr>
        <w:t>https://insights.som.yale.edu/insights/the-ftcs-antitrust-overreach-is-hurting-us-competitiveness-and-destroying-value</w:t>
      </w:r>
      <w:r>
        <w:rPr>
          <w:b w:val="0"/>
          <w:i w:val="0"/>
          <w:smallCaps w:val="0"/>
          <w:strike w:val="0"/>
          <w:sz w:val="22"/>
          <w:u w:val="none"/>
        </w:rPr>
        <w:t>]//av</w:t>
      </w:r>
    </w:p>
    <w:p>
      <w:pPr>
        <w:spacing w:after="60"/>
      </w:pPr>
      <w:r>
        <w:rPr>
          <w:b w:val="0"/>
          <w:i w:val="0"/>
          <w:smallCaps w:val="0"/>
          <w:strike w:val="0"/>
          <w:sz w:val="16"/>
          <w:u w:val="none"/>
        </w:rPr>
        <w:t xml:space="preserve">Arguably the </w:t>
      </w:r>
      <w:r>
        <w:rPr>
          <w:b w:val="0"/>
          <w:i w:val="0"/>
          <w:smallCaps w:val="0"/>
          <w:strike w:val="0"/>
          <w:sz w:val="22"/>
          <w:u w:val="single"/>
        </w:rPr>
        <w:t>most damaging byproduct of</w:t>
      </w:r>
      <w:r>
        <w:rPr>
          <w:b w:val="0"/>
          <w:i w:val="0"/>
          <w:smallCaps w:val="0"/>
          <w:strike w:val="0"/>
          <w:sz w:val="16"/>
          <w:u w:val="none"/>
        </w:rPr>
        <w:t xml:space="preserve"> Khan’s anti-merger </w:t>
      </w:r>
      <w:r>
        <w:rPr>
          <w:b w:val="0"/>
          <w:i w:val="0"/>
          <w:smallCaps w:val="0"/>
          <w:strike w:val="0"/>
          <w:sz w:val="22"/>
          <w:highlight w:val="cyan"/>
          <w:u w:val="single"/>
        </w:rPr>
        <w:t>overreach</w:t>
      </w:r>
      <w:r>
        <w:rPr>
          <w:b w:val="0"/>
          <w:i w:val="0"/>
          <w:smallCaps w:val="0"/>
          <w:strike w:val="0"/>
          <w:sz w:val="22"/>
          <w:u w:val="single"/>
        </w:rPr>
        <w:t xml:space="preserve"> is that it </w:t>
      </w:r>
      <w:r>
        <w:rPr>
          <w:b w:val="0"/>
          <w:i w:val="0"/>
          <w:smallCaps w:val="0"/>
          <w:strike w:val="0"/>
          <w:sz w:val="22"/>
          <w:highlight w:val="cyan"/>
          <w:u w:val="single"/>
        </w:rPr>
        <w:t xml:space="preserve">is </w:t>
      </w:r>
      <w:r>
        <w:rPr>
          <w:b/>
          <w:i w:val="0"/>
          <w:smallCaps w:val="0"/>
          <w:strike w:val="0"/>
          <w:sz w:val="24"/>
          <w:highlight w:val="cyan"/>
          <w:u w:val="single"/>
        </w:rPr>
        <w:t>hurting</w:t>
      </w:r>
      <w:r>
        <w:rPr>
          <w:b/>
          <w:i w:val="0"/>
          <w:smallCaps w:val="0"/>
          <w:strike w:val="0"/>
          <w:sz w:val="24"/>
          <w:u w:val="single"/>
        </w:rPr>
        <w:t xml:space="preserve"> American </w:t>
      </w:r>
      <w:r>
        <w:rPr>
          <w:b/>
          <w:i w:val="0"/>
          <w:smallCaps w:val="0"/>
          <w:strike w:val="0"/>
          <w:sz w:val="24"/>
          <w:highlight w:val="cyan"/>
          <w:u w:val="single"/>
        </w:rPr>
        <w:t>global competitiveness</w:t>
      </w:r>
      <w:r>
        <w:rPr>
          <w:b w:val="0"/>
          <w:i w:val="0"/>
          <w:smallCaps w:val="0"/>
          <w:strike w:val="0"/>
          <w:sz w:val="22"/>
          <w:highlight w:val="cyan"/>
          <w:u w:val="single"/>
        </w:rPr>
        <w:t xml:space="preserve"> and innov</w:t>
      </w:r>
      <w:r>
        <w:rPr>
          <w:b w:val="0"/>
          <w:i w:val="0"/>
          <w:smallCaps w:val="0"/>
          <w:strike w:val="0"/>
          <w:sz w:val="22"/>
          <w:u w:val="single"/>
        </w:rPr>
        <w:t>ation</w:t>
      </w:r>
      <w:r>
        <w:rPr>
          <w:b w:val="0"/>
          <w:i w:val="0"/>
          <w:smallCaps w:val="0"/>
          <w:strike w:val="0"/>
          <w:sz w:val="16"/>
          <w:u w:val="none"/>
        </w:rPr>
        <w:t xml:space="preserve">, even </w:t>
      </w:r>
      <w:r>
        <w:rPr>
          <w:b w:val="0"/>
          <w:i w:val="0"/>
          <w:smallCaps w:val="0"/>
          <w:strike w:val="0"/>
          <w:sz w:val="22"/>
          <w:u w:val="single"/>
        </w:rPr>
        <w:t>in fields such as life-saving medicines</w:t>
      </w:r>
      <w:r>
        <w:rPr>
          <w:b w:val="0"/>
          <w:i w:val="0"/>
          <w:smallCaps w:val="0"/>
          <w:strike w:val="0"/>
          <w:sz w:val="16"/>
          <w:u w:val="none"/>
        </w:rPr>
        <w:t>. For example, when the FTC filed suit against pharmaceutical giant Amgen for its acquisition of Horizon Therapeutics despite the companies having no overlapping products (the first time this has ever happened for any pharmaceutical company) and the FTC was closely scrutinizing Pfizer’s purchase of Seagen to advance no-overlap cancer drugs, even Amgen and Pfizer’s competitors rallied against the FTC.</w:t>
      </w:r>
    </w:p>
    <w:p>
      <w:pPr>
        <w:spacing w:after="60"/>
      </w:pPr>
      <w:r>
        <w:rPr>
          <w:b/>
          <w:i w:val="0"/>
          <w:smallCaps w:val="0"/>
          <w:strike w:val="0"/>
          <w:sz w:val="24"/>
          <w:highlight w:val="cyan"/>
          <w:u w:val="single"/>
        </w:rPr>
        <w:t>Pharma</w:t>
      </w:r>
      <w:r>
        <w:rPr>
          <w:b w:val="0"/>
          <w:i w:val="0"/>
          <w:smallCaps w:val="0"/>
          <w:strike w:val="0"/>
          <w:sz w:val="22"/>
          <w:u w:val="single"/>
        </w:rPr>
        <w:t xml:space="preserve"> industry groups </w:t>
      </w:r>
      <w:r>
        <w:rPr>
          <w:b/>
          <w:i w:val="0"/>
          <w:smallCaps w:val="0"/>
          <w:strike w:val="0"/>
          <w:sz w:val="24"/>
          <w:u w:val="single"/>
        </w:rPr>
        <w:t>came together</w:t>
      </w:r>
      <w:r>
        <w:rPr>
          <w:b w:val="0"/>
          <w:i w:val="0"/>
          <w:smallCaps w:val="0"/>
          <w:strike w:val="0"/>
          <w:sz w:val="22"/>
          <w:u w:val="single"/>
        </w:rPr>
        <w:t xml:space="preserve"> to</w:t>
      </w:r>
      <w:r>
        <w:rPr>
          <w:b w:val="0"/>
          <w:i w:val="0"/>
          <w:smallCaps w:val="0"/>
          <w:strike w:val="0"/>
          <w:sz w:val="16"/>
          <w:u w:val="none"/>
        </w:rPr>
        <w:t xml:space="preserve"> publish a detailed report </w:t>
      </w:r>
      <w:r>
        <w:rPr>
          <w:b w:val="0"/>
          <w:i w:val="0"/>
          <w:smallCaps w:val="0"/>
          <w:strike w:val="0"/>
          <w:sz w:val="22"/>
          <w:u w:val="single"/>
        </w:rPr>
        <w:t>show</w:t>
      </w:r>
      <w:r>
        <w:rPr>
          <w:b w:val="0"/>
          <w:i w:val="0"/>
          <w:smallCaps w:val="0"/>
          <w:strike w:val="0"/>
          <w:sz w:val="16"/>
          <w:u w:val="none"/>
        </w:rPr>
        <w:t xml:space="preserve">ing </w:t>
      </w:r>
      <w:r>
        <w:rPr>
          <w:b w:val="0"/>
          <w:i w:val="0"/>
          <w:smallCaps w:val="0"/>
          <w:strike w:val="0"/>
          <w:sz w:val="22"/>
          <w:u w:val="single"/>
        </w:rPr>
        <w:t>how</w:t>
      </w:r>
      <w:r>
        <w:rPr>
          <w:b w:val="0"/>
          <w:i w:val="0"/>
          <w:smallCaps w:val="0"/>
          <w:strike w:val="0"/>
          <w:sz w:val="16"/>
          <w:u w:val="none"/>
        </w:rPr>
        <w:t xml:space="preserve"> $18 billion in private venture capital investment and </w:t>
      </w:r>
      <w:r>
        <w:rPr>
          <w:b w:val="0"/>
          <w:i w:val="0"/>
          <w:smallCaps w:val="0"/>
          <w:strike w:val="0"/>
          <w:sz w:val="22"/>
          <w:u w:val="single"/>
        </w:rPr>
        <w:t>$152 billion</w:t>
      </w:r>
      <w:r>
        <w:rPr>
          <w:b w:val="0"/>
          <w:i w:val="0"/>
          <w:smallCaps w:val="0"/>
          <w:strike w:val="0"/>
          <w:sz w:val="16"/>
          <w:u w:val="none"/>
        </w:rPr>
        <w:t xml:space="preserve"> in large pharmaceutical company investments </w:t>
      </w:r>
      <w:r>
        <w:rPr>
          <w:b w:val="0"/>
          <w:i w:val="0"/>
          <w:smallCaps w:val="0"/>
          <w:strike w:val="0"/>
          <w:sz w:val="22"/>
          <w:u w:val="single"/>
        </w:rPr>
        <w:t xml:space="preserve">into new vaccines and </w:t>
      </w:r>
      <w:r>
        <w:rPr>
          <w:b w:val="0"/>
          <w:i w:val="0"/>
          <w:smallCaps w:val="0"/>
          <w:strike w:val="0"/>
          <w:sz w:val="22"/>
          <w:highlight w:val="cyan"/>
          <w:u w:val="single"/>
        </w:rPr>
        <w:t>treatments</w:t>
      </w:r>
      <w:r>
        <w:rPr>
          <w:b w:val="0"/>
          <w:i w:val="0"/>
          <w:smallCaps w:val="0"/>
          <w:strike w:val="0"/>
          <w:sz w:val="22"/>
          <w:u w:val="single"/>
        </w:rPr>
        <w:t xml:space="preserve"> would </w:t>
      </w:r>
      <w:r>
        <w:rPr>
          <w:b w:val="0"/>
          <w:i w:val="0"/>
          <w:smallCaps w:val="0"/>
          <w:strike w:val="0"/>
          <w:sz w:val="22"/>
          <w:highlight w:val="cyan"/>
          <w:u w:val="single"/>
        </w:rPr>
        <w:t>be</w:t>
      </w:r>
      <w:r>
        <w:rPr>
          <w:b w:val="0"/>
          <w:i w:val="0"/>
          <w:smallCaps w:val="0"/>
          <w:strike w:val="0"/>
          <w:sz w:val="22"/>
          <w:u w:val="single"/>
        </w:rPr>
        <w:t xml:space="preserve"> practically </w:t>
      </w:r>
      <w:r>
        <w:rPr>
          <w:b/>
          <w:i w:val="0"/>
          <w:smallCaps w:val="0"/>
          <w:strike w:val="0"/>
          <w:sz w:val="24"/>
          <w:highlight w:val="cyan"/>
          <w:u w:val="single"/>
        </w:rPr>
        <w:t>outlawed overnight</w:t>
      </w:r>
      <w:r>
        <w:rPr>
          <w:b w:val="0"/>
          <w:i w:val="0"/>
          <w:smallCaps w:val="0"/>
          <w:strike w:val="0"/>
          <w:sz w:val="22"/>
          <w:highlight w:val="cyan"/>
          <w:u w:val="single"/>
        </w:rPr>
        <w:t>, bring</w:t>
      </w:r>
      <w:r>
        <w:rPr>
          <w:b w:val="0"/>
          <w:i w:val="0"/>
          <w:smallCaps w:val="0"/>
          <w:strike w:val="0"/>
          <w:sz w:val="22"/>
          <w:u w:val="single"/>
        </w:rPr>
        <w:t>ing</w:t>
      </w:r>
      <w:r>
        <w:rPr>
          <w:b w:val="0"/>
          <w:i w:val="0"/>
          <w:smallCaps w:val="0"/>
          <w:strike w:val="0"/>
          <w:sz w:val="16"/>
          <w:u w:val="none"/>
        </w:rPr>
        <w:t xml:space="preserve"> the </w:t>
      </w:r>
      <w:r>
        <w:rPr>
          <w:b/>
          <w:i w:val="0"/>
          <w:smallCaps w:val="0"/>
          <w:strike w:val="0"/>
          <w:sz w:val="24"/>
          <w:u w:val="single"/>
        </w:rPr>
        <w:t xml:space="preserve">flow of new </w:t>
      </w:r>
      <w:r>
        <w:rPr>
          <w:b/>
          <w:i w:val="0"/>
          <w:smallCaps w:val="0"/>
          <w:strike w:val="0"/>
          <w:sz w:val="24"/>
          <w:highlight w:val="cyan"/>
          <w:u w:val="single"/>
        </w:rPr>
        <w:t>drugs</w:t>
      </w:r>
      <w:r>
        <w:rPr>
          <w:b w:val="0"/>
          <w:i w:val="0"/>
          <w:smallCaps w:val="0"/>
          <w:strike w:val="0"/>
          <w:sz w:val="22"/>
          <w:u w:val="single"/>
        </w:rPr>
        <w:t xml:space="preserve"> to </w:t>
      </w:r>
      <w:r>
        <w:rPr>
          <w:b w:val="0"/>
          <w:i w:val="0"/>
          <w:smallCaps w:val="0"/>
          <w:strike w:val="0"/>
          <w:sz w:val="22"/>
          <w:highlight w:val="cyan"/>
          <w:u w:val="single"/>
        </w:rPr>
        <w:t>market to a</w:t>
      </w:r>
      <w:r>
        <w:rPr>
          <w:b w:val="0"/>
          <w:i w:val="0"/>
          <w:smallCaps w:val="0"/>
          <w:strike w:val="0"/>
          <w:sz w:val="22"/>
          <w:u w:val="single"/>
        </w:rPr>
        <w:t xml:space="preserve"> </w:t>
      </w:r>
      <w:r>
        <w:rPr>
          <w:b/>
          <w:i w:val="0"/>
          <w:smallCaps w:val="0"/>
          <w:strike w:val="0"/>
          <w:sz w:val="24"/>
          <w:u w:val="single"/>
        </w:rPr>
        <w:t xml:space="preserve">virtual </w:t>
      </w:r>
      <w:r>
        <w:rPr>
          <w:b/>
          <w:i w:val="0"/>
          <w:smallCaps w:val="0"/>
          <w:strike w:val="0"/>
          <w:sz w:val="24"/>
          <w:highlight w:val="cyan"/>
          <w:u w:val="single"/>
        </w:rPr>
        <w:t>halt</w:t>
      </w:r>
      <w:r>
        <w:rPr>
          <w:b w:val="0"/>
          <w:i w:val="0"/>
          <w:smallCaps w:val="0"/>
          <w:strike w:val="0"/>
          <w:sz w:val="16"/>
          <w:u w:val="none"/>
        </w:rPr>
        <w:t xml:space="preserve"> and </w:t>
      </w:r>
      <w:r>
        <w:rPr>
          <w:b/>
          <w:i w:val="0"/>
          <w:smallCaps w:val="0"/>
          <w:strike w:val="0"/>
          <w:sz w:val="24"/>
          <w:u w:val="single"/>
        </w:rPr>
        <w:t>bankrupting thousands</w:t>
      </w:r>
      <w:r>
        <w:rPr>
          <w:b w:val="0"/>
          <w:i w:val="0"/>
          <w:smallCaps w:val="0"/>
          <w:strike w:val="0"/>
          <w:sz w:val="22"/>
          <w:u w:val="single"/>
        </w:rPr>
        <w:t xml:space="preserve"> of biotech startups </w:t>
      </w:r>
      <w:r>
        <w:rPr>
          <w:b/>
          <w:i w:val="0"/>
          <w:smallCaps w:val="0"/>
          <w:strike w:val="0"/>
          <w:sz w:val="24"/>
          <w:u w:val="single"/>
        </w:rPr>
        <w:t>overnight</w:t>
      </w:r>
      <w:r>
        <w:rPr>
          <w:b w:val="0"/>
          <w:i w:val="0"/>
          <w:smallCaps w:val="0"/>
          <w:strike w:val="0"/>
          <w:sz w:val="16"/>
          <w:u w:val="none"/>
        </w:rPr>
        <w:t>. A respected pharmaceutical industry analyst, Jay Olson of Oppenheimer, wrote, “Stop the insanity,” describing the FTC actions as “ludicrous,” echoing the sentiments of many of his peers.</w:t>
      </w:r>
    </w:p>
    <w:p>
      <w:pPr>
        <w:spacing w:after="60"/>
      </w:pPr>
      <w:r>
        <w:rPr>
          <w:b w:val="0"/>
          <w:i w:val="0"/>
          <w:smallCaps w:val="0"/>
          <w:strike w:val="0"/>
          <w:sz w:val="16"/>
          <w:u w:val="none"/>
        </w:rPr>
        <w:t>Only after severe blowback did the FTC pause, then rapidly settle, the suit. Nevertheless, the damage from Khan’s suit has been lasting, with biotech venture capital investments down 25% this quarter, partially spurred by investor concerns over FTC interference, resulting in fewer new drugs being brought to market. Meanwhile, Khan has refused to acknowledge any mistake. In fact, Khan took a victory lap over “significant” settlement concessions in its settlement with Amgen—even though Amgen factually noted that all the settlement entailed was a promise not to commit illegal actions (which the company has never done and had no intention to do regardless of the settlement) with zero real impact on Amgen’s business.</w:t>
      </w:r>
    </w:p>
    <w:p>
      <w:pPr>
        <w:spacing w:after="60"/>
      </w:pPr>
      <w:r>
        <w:rPr>
          <w:b w:val="0"/>
          <w:i w:val="0"/>
          <w:smallCaps w:val="0"/>
          <w:strike w:val="0"/>
          <w:sz w:val="16"/>
          <w:u w:val="none"/>
        </w:rPr>
        <w:t xml:space="preserve">Importantly, </w:t>
      </w:r>
      <w:r>
        <w:rPr>
          <w:b/>
          <w:i w:val="0"/>
          <w:smallCaps w:val="0"/>
          <w:strike w:val="0"/>
          <w:sz w:val="24"/>
          <w:highlight w:val="cyan"/>
          <w:u w:val="single"/>
        </w:rPr>
        <w:t>antitrust</w:t>
      </w:r>
      <w:r>
        <w:rPr>
          <w:b w:val="0"/>
          <w:i w:val="0"/>
          <w:smallCaps w:val="0"/>
          <w:strike w:val="0"/>
          <w:sz w:val="22"/>
          <w:u w:val="single"/>
        </w:rPr>
        <w:t xml:space="preserve"> overreach is </w:t>
      </w:r>
      <w:r>
        <w:rPr>
          <w:b/>
          <w:i w:val="0"/>
          <w:smallCaps w:val="0"/>
          <w:strike w:val="0"/>
          <w:sz w:val="24"/>
          <w:highlight w:val="cyan"/>
          <w:u w:val="single"/>
        </w:rPr>
        <w:t>hurt</w:t>
      </w:r>
      <w:r>
        <w:rPr>
          <w:b/>
          <w:i w:val="0"/>
          <w:smallCaps w:val="0"/>
          <w:strike w:val="0"/>
          <w:sz w:val="24"/>
          <w:u w:val="single"/>
        </w:rPr>
        <w:t>ing</w:t>
      </w:r>
      <w:r>
        <w:rPr>
          <w:b w:val="0"/>
          <w:i w:val="0"/>
          <w:smallCaps w:val="0"/>
          <w:strike w:val="0"/>
          <w:sz w:val="22"/>
          <w:u w:val="single"/>
        </w:rPr>
        <w:t xml:space="preserve"> American business </w:t>
      </w:r>
      <w:r>
        <w:rPr>
          <w:b/>
          <w:i w:val="0"/>
          <w:smallCaps w:val="0"/>
          <w:strike w:val="0"/>
          <w:sz w:val="24"/>
          <w:highlight w:val="cyan"/>
          <w:u w:val="single"/>
        </w:rPr>
        <w:t>competitiveness in global markets</w:t>
      </w:r>
      <w:r>
        <w:rPr>
          <w:b w:val="0"/>
          <w:i w:val="0"/>
          <w:smallCaps w:val="0"/>
          <w:strike w:val="0"/>
          <w:sz w:val="16"/>
          <w:u w:val="none"/>
        </w:rPr>
        <w:t xml:space="preserve">, with the </w:t>
      </w:r>
      <w:r>
        <w:rPr>
          <w:b/>
          <w:i w:val="0"/>
          <w:smallCaps w:val="0"/>
          <w:strike w:val="0"/>
          <w:sz w:val="24"/>
          <w:highlight w:val="cyan"/>
          <w:u w:val="single"/>
        </w:rPr>
        <w:t>FTC calculating</w:t>
      </w:r>
      <w:r>
        <w:rPr>
          <w:b w:val="0"/>
          <w:i w:val="0"/>
          <w:smallCaps w:val="0"/>
          <w:strike w:val="0"/>
          <w:sz w:val="22"/>
          <w:u w:val="single"/>
        </w:rPr>
        <w:t xml:space="preserve"> industry concentration on a </w:t>
      </w:r>
      <w:r>
        <w:rPr>
          <w:b/>
          <w:i w:val="0"/>
          <w:smallCaps w:val="0"/>
          <w:strike w:val="0"/>
          <w:sz w:val="24"/>
          <w:highlight w:val="cyan"/>
          <w:u w:val="single"/>
        </w:rPr>
        <w:t>purely</w:t>
      </w:r>
      <w:r>
        <w:rPr>
          <w:b w:val="0"/>
          <w:i w:val="0"/>
          <w:smallCaps w:val="0"/>
          <w:strike w:val="0"/>
          <w:sz w:val="22"/>
          <w:u w:val="single"/>
        </w:rPr>
        <w:t xml:space="preserve"> </w:t>
      </w:r>
      <w:r>
        <w:rPr>
          <w:b/>
          <w:i w:val="0"/>
          <w:smallCaps w:val="0"/>
          <w:strike w:val="0"/>
          <w:sz w:val="24"/>
          <w:highlight w:val="cyan"/>
          <w:u w:val="single"/>
        </w:rPr>
        <w:t>domestic</w:t>
      </w:r>
      <w:r>
        <w:rPr>
          <w:b w:val="0"/>
          <w:i w:val="0"/>
          <w:smallCaps w:val="0"/>
          <w:strike w:val="0"/>
          <w:sz w:val="16"/>
          <w:u w:val="none"/>
        </w:rPr>
        <w:t>—and sometimes even local—</w:t>
      </w:r>
      <w:r>
        <w:rPr>
          <w:b w:val="0"/>
          <w:i w:val="0"/>
          <w:smallCaps w:val="0"/>
          <w:strike w:val="0"/>
          <w:sz w:val="22"/>
          <w:u w:val="single"/>
        </w:rPr>
        <w:t>basis</w:t>
      </w:r>
      <w:r>
        <w:rPr>
          <w:b w:val="0"/>
          <w:i w:val="0"/>
          <w:smallCaps w:val="0"/>
          <w:strike w:val="0"/>
          <w:sz w:val="16"/>
          <w:u w:val="none"/>
        </w:rPr>
        <w:t xml:space="preserve"> instead of examining market share on a global scale. For example, this week’s reports emerged that the </w:t>
      </w:r>
      <w:r>
        <w:rPr>
          <w:b w:val="0"/>
          <w:i w:val="0"/>
          <w:smallCaps w:val="0"/>
          <w:strike w:val="0"/>
          <w:sz w:val="22"/>
          <w:u w:val="single"/>
        </w:rPr>
        <w:t>FTC is now probing the Exxon-Pioneer merger</w:t>
      </w:r>
      <w:r>
        <w:rPr>
          <w:b w:val="0"/>
          <w:i w:val="0"/>
          <w:smallCaps w:val="0"/>
          <w:strike w:val="0"/>
          <w:sz w:val="16"/>
          <w:u w:val="none"/>
        </w:rPr>
        <w:t xml:space="preserve">, which means the FTC will likely also probe the Chevron-Hess merger. Antitrust advocates rightly note that </w:t>
      </w:r>
      <w:r>
        <w:rPr>
          <w:b w:val="0"/>
          <w:i w:val="0"/>
          <w:smallCaps w:val="0"/>
          <w:strike w:val="0"/>
          <w:sz w:val="22"/>
          <w:u w:val="single"/>
        </w:rPr>
        <w:t xml:space="preserve">the Exxon-Pioneer merger </w:t>
      </w:r>
      <w:r>
        <w:rPr>
          <w:b w:val="0"/>
          <w:i w:val="0"/>
          <w:smallCaps w:val="0"/>
          <w:strike w:val="0"/>
          <w:sz w:val="16"/>
          <w:u w:val="none"/>
        </w:rPr>
        <w:t xml:space="preserve">means the combined entity </w:t>
      </w:r>
      <w:r>
        <w:rPr>
          <w:b w:val="0"/>
          <w:i w:val="0"/>
          <w:smallCaps w:val="0"/>
          <w:strike w:val="0"/>
          <w:sz w:val="22"/>
          <w:u w:val="single"/>
        </w:rPr>
        <w:t>will control over 50% of the Permian oil field, but oil is</w:t>
      </w:r>
      <w:r>
        <w:rPr>
          <w:b w:val="0"/>
          <w:i w:val="0"/>
          <w:smallCaps w:val="0"/>
          <w:strike w:val="0"/>
          <w:sz w:val="16"/>
          <w:u w:val="none"/>
        </w:rPr>
        <w:t xml:space="preserve">, by definition, </w:t>
      </w:r>
      <w:r>
        <w:rPr>
          <w:b w:val="0"/>
          <w:i w:val="0"/>
          <w:smallCaps w:val="0"/>
          <w:strike w:val="0"/>
          <w:sz w:val="22"/>
          <w:u w:val="single"/>
        </w:rPr>
        <w:t>a global marketplace</w:t>
      </w:r>
      <w:r>
        <w:rPr>
          <w:b w:val="0"/>
          <w:i w:val="0"/>
          <w:smallCaps w:val="0"/>
          <w:strike w:val="0"/>
          <w:sz w:val="16"/>
          <w:u w:val="none"/>
        </w:rPr>
        <w:t>, and the Permian oil field is equivalent to just 5% of global production.</w:t>
      </w:r>
    </w:p>
    <w:p>
      <w:pPr>
        <w:spacing w:after="60"/>
      </w:pPr>
      <w:r>
        <w:rPr>
          <w:b w:val="0"/>
          <w:i w:val="0"/>
          <w:smallCaps w:val="0"/>
          <w:strike w:val="0"/>
          <w:sz w:val="22"/>
          <w:highlight w:val="cyan"/>
          <w:u w:val="single"/>
        </w:rPr>
        <w:t>Do we</w:t>
      </w:r>
      <w:r>
        <w:rPr>
          <w:b w:val="0"/>
          <w:i w:val="0"/>
          <w:smallCaps w:val="0"/>
          <w:strike w:val="0"/>
          <w:sz w:val="16"/>
          <w:u w:val="none"/>
        </w:rPr>
        <w:t xml:space="preserve"> really </w:t>
      </w:r>
      <w:r>
        <w:rPr>
          <w:b w:val="0"/>
          <w:i w:val="0"/>
          <w:smallCaps w:val="0"/>
          <w:strike w:val="0"/>
          <w:sz w:val="22"/>
          <w:highlight w:val="cyan"/>
          <w:u w:val="single"/>
        </w:rPr>
        <w:t>want to</w:t>
      </w:r>
      <w:r>
        <w:rPr>
          <w:b w:val="0"/>
          <w:i w:val="0"/>
          <w:smallCaps w:val="0"/>
          <w:strike w:val="0"/>
          <w:sz w:val="22"/>
          <w:u w:val="single"/>
        </w:rPr>
        <w:t xml:space="preserve"> have to </w:t>
      </w:r>
      <w:r>
        <w:rPr>
          <w:b/>
          <w:i w:val="0"/>
          <w:smallCaps w:val="0"/>
          <w:strike w:val="0"/>
          <w:sz w:val="24"/>
          <w:highlight w:val="cyan"/>
          <w:u w:val="single"/>
        </w:rPr>
        <w:t>buy</w:t>
      </w:r>
      <w:r>
        <w:rPr>
          <w:b/>
          <w:i w:val="0"/>
          <w:smallCaps w:val="0"/>
          <w:strike w:val="0"/>
          <w:sz w:val="24"/>
          <w:u w:val="single"/>
        </w:rPr>
        <w:t xml:space="preserve"> more oil </w:t>
      </w:r>
      <w:r>
        <w:rPr>
          <w:b/>
          <w:i w:val="0"/>
          <w:smallCaps w:val="0"/>
          <w:strike w:val="0"/>
          <w:sz w:val="24"/>
          <w:highlight w:val="cyan"/>
          <w:u w:val="single"/>
        </w:rPr>
        <w:t>from</w:t>
      </w:r>
      <w:r>
        <w:rPr>
          <w:b w:val="0"/>
          <w:i w:val="0"/>
          <w:smallCaps w:val="0"/>
          <w:strike w:val="0"/>
          <w:sz w:val="16"/>
          <w:u w:val="none"/>
        </w:rPr>
        <w:t xml:space="preserve"> Vladimir Putin and other </w:t>
      </w:r>
      <w:r>
        <w:rPr>
          <w:b/>
          <w:i w:val="0"/>
          <w:smallCaps w:val="0"/>
          <w:strike w:val="0"/>
          <w:sz w:val="24"/>
          <w:highlight w:val="cyan"/>
          <w:u w:val="single"/>
        </w:rPr>
        <w:t>foreign autocrats</w:t>
      </w:r>
      <w:r>
        <w:rPr>
          <w:b w:val="0"/>
          <w:i w:val="0"/>
          <w:smallCaps w:val="0"/>
          <w:strike w:val="0"/>
          <w:sz w:val="22"/>
          <w:u w:val="single"/>
        </w:rPr>
        <w:t xml:space="preserve"> by hurting our own companies</w:t>
      </w:r>
      <w:r>
        <w:rPr>
          <w:b w:val="0"/>
          <w:i w:val="0"/>
          <w:smallCaps w:val="0"/>
          <w:strike w:val="0"/>
          <w:sz w:val="16"/>
          <w:u w:val="none"/>
        </w:rPr>
        <w:t xml:space="preserve">? Hamstringing American entities by miscalculating industry concentration as </w:t>
      </w:r>
      <w:r>
        <w:rPr>
          <w:b w:val="0"/>
          <w:i w:val="0"/>
          <w:smallCaps w:val="0"/>
          <w:strike w:val="0"/>
          <w:sz w:val="22"/>
          <w:u w:val="single"/>
        </w:rPr>
        <w:t>if U.S. companies do not compete with foreign competitors</w:t>
      </w:r>
      <w:r>
        <w:rPr>
          <w:b w:val="0"/>
          <w:i w:val="0"/>
          <w:smallCaps w:val="0"/>
          <w:strike w:val="0"/>
          <w:sz w:val="16"/>
          <w:u w:val="none"/>
        </w:rPr>
        <w:t xml:space="preserve">, many of which are subsidized by their national governments, in </w:t>
      </w:r>
      <w:r>
        <w:rPr>
          <w:b w:val="0"/>
          <w:i w:val="0"/>
          <w:smallCaps w:val="0"/>
          <w:strike w:val="0"/>
          <w:sz w:val="22"/>
          <w:u w:val="single"/>
        </w:rPr>
        <w:t xml:space="preserve">strategic industries such as energy, steelmaking, mining, and others </w:t>
      </w:r>
      <w:r>
        <w:rPr>
          <w:b w:val="0"/>
          <w:i w:val="0"/>
          <w:smallCaps w:val="0"/>
          <w:strike w:val="0"/>
          <w:sz w:val="22"/>
          <w:highlight w:val="cyan"/>
          <w:u w:val="single"/>
        </w:rPr>
        <w:t>only</w:t>
      </w:r>
      <w:r>
        <w:rPr>
          <w:b/>
          <w:i w:val="0"/>
          <w:smallCaps w:val="0"/>
          <w:strike w:val="0"/>
          <w:sz w:val="24"/>
          <w:highlight w:val="cyan"/>
          <w:u w:val="single"/>
        </w:rPr>
        <w:t xml:space="preserve"> hurts</w:t>
      </w:r>
      <w:r>
        <w:rPr>
          <w:b/>
          <w:i w:val="0"/>
          <w:smallCaps w:val="0"/>
          <w:strike w:val="0"/>
          <w:sz w:val="24"/>
          <w:u w:val="single"/>
        </w:rPr>
        <w:t xml:space="preserve"> American </w:t>
      </w:r>
      <w:r>
        <w:rPr>
          <w:b/>
          <w:i w:val="0"/>
          <w:smallCaps w:val="0"/>
          <w:strike w:val="0"/>
          <w:sz w:val="24"/>
          <w:highlight w:val="cyan"/>
          <w:u w:val="single"/>
        </w:rPr>
        <w:t>competitiveness</w:t>
      </w:r>
      <w:r>
        <w:rPr>
          <w:b w:val="0"/>
          <w:i w:val="0"/>
          <w:smallCaps w:val="0"/>
          <w:strike w:val="0"/>
          <w:sz w:val="16"/>
          <w:u w:val="none"/>
        </w:rPr>
        <w:t>.</w:t>
      </w:r>
    </w:p>
    <w:p>
      <w:pPr>
        <w:spacing w:after="60"/>
      </w:pPr>
      <w:r>
        <w:rPr>
          <w:b w:val="0"/>
          <w:i w:val="0"/>
          <w:smallCaps w:val="0"/>
          <w:strike w:val="0"/>
          <w:sz w:val="16"/>
          <w:u w:val="none"/>
        </w:rPr>
        <w:t xml:space="preserve">Another example of how </w:t>
      </w:r>
      <w:r>
        <w:rPr>
          <w:b w:val="0"/>
          <w:i w:val="0"/>
          <w:smallCaps w:val="0"/>
          <w:strike w:val="0"/>
          <w:sz w:val="22"/>
          <w:u w:val="single"/>
        </w:rPr>
        <w:t>market share is defined too narrowly</w:t>
      </w:r>
      <w:r>
        <w:rPr>
          <w:b w:val="0"/>
          <w:i w:val="0"/>
          <w:smallCaps w:val="0"/>
          <w:strike w:val="0"/>
          <w:sz w:val="16"/>
          <w:u w:val="none"/>
        </w:rPr>
        <w:t xml:space="preserve"> and locally is Roark Capital’s purchase of Subway. </w:t>
      </w:r>
      <w:r>
        <w:rPr>
          <w:b w:val="0"/>
          <w:i w:val="0"/>
          <w:smallCaps w:val="0"/>
          <w:strike w:val="0"/>
          <w:sz w:val="22"/>
          <w:u w:val="single"/>
        </w:rPr>
        <w:t>Antitrust advocates point out</w:t>
      </w:r>
      <w:r>
        <w:rPr>
          <w:b w:val="0"/>
          <w:i w:val="0"/>
          <w:smallCaps w:val="0"/>
          <w:strike w:val="0"/>
          <w:sz w:val="16"/>
          <w:u w:val="none"/>
        </w:rPr>
        <w:t xml:space="preserve"> that Subway has a 20% </w:t>
      </w:r>
      <w:r>
        <w:rPr>
          <w:b w:val="0"/>
          <w:i w:val="0"/>
          <w:smallCaps w:val="0"/>
          <w:strike w:val="0"/>
          <w:sz w:val="22"/>
          <w:u w:val="single"/>
        </w:rPr>
        <w:t>market share</w:t>
      </w:r>
      <w:r>
        <w:rPr>
          <w:b w:val="0"/>
          <w:i w:val="0"/>
          <w:smallCaps w:val="0"/>
          <w:strike w:val="0"/>
          <w:sz w:val="16"/>
          <w:u w:val="none"/>
        </w:rPr>
        <w:t xml:space="preserve"> in sandwiches and delis </w:t>
      </w:r>
      <w:r>
        <w:rPr>
          <w:b w:val="0"/>
          <w:i w:val="0"/>
          <w:smallCaps w:val="0"/>
          <w:strike w:val="0"/>
          <w:sz w:val="22"/>
          <w:u w:val="single"/>
        </w:rPr>
        <w:t>within the U.S</w:t>
      </w:r>
      <w:r>
        <w:rPr>
          <w:b w:val="0"/>
          <w:i w:val="0"/>
          <w:smallCaps w:val="0"/>
          <w:strike w:val="0"/>
          <w:sz w:val="16"/>
          <w:u w:val="none"/>
        </w:rPr>
        <w:t xml:space="preserve">.—but its </w:t>
      </w:r>
      <w:r>
        <w:rPr>
          <w:b/>
          <w:i w:val="0"/>
          <w:smallCaps w:val="0"/>
          <w:strike w:val="0"/>
          <w:sz w:val="24"/>
          <w:highlight w:val="cyan"/>
          <w:u w:val="single"/>
        </w:rPr>
        <w:t>international presence</w:t>
      </w:r>
      <w:r>
        <w:rPr>
          <w:b w:val="0"/>
          <w:i w:val="0"/>
          <w:smallCaps w:val="0"/>
          <w:strike w:val="0"/>
          <w:sz w:val="22"/>
          <w:u w:val="single"/>
        </w:rPr>
        <w:t xml:space="preserve"> has been much more </w:t>
      </w:r>
      <w:r>
        <w:rPr>
          <w:b w:val="0"/>
          <w:i w:val="0"/>
          <w:smallCaps w:val="0"/>
          <w:strike w:val="0"/>
          <w:sz w:val="22"/>
          <w:highlight w:val="cyan"/>
          <w:u w:val="single"/>
        </w:rPr>
        <w:t xml:space="preserve">challenged with </w:t>
      </w:r>
      <w:r>
        <w:rPr>
          <w:b/>
          <w:i w:val="0"/>
          <w:smallCaps w:val="0"/>
          <w:strike w:val="0"/>
          <w:sz w:val="24"/>
          <w:highlight w:val="cyan"/>
          <w:u w:val="single"/>
        </w:rPr>
        <w:t>single-digit</w:t>
      </w:r>
      <w:r>
        <w:rPr>
          <w:b w:val="0"/>
          <w:i w:val="0"/>
          <w:smallCaps w:val="0"/>
          <w:strike w:val="0"/>
          <w:sz w:val="16"/>
          <w:u w:val="none"/>
        </w:rPr>
        <w:t xml:space="preserve"> (if even that) </w:t>
      </w:r>
      <w:r>
        <w:rPr>
          <w:b w:val="0"/>
          <w:i w:val="0"/>
          <w:smallCaps w:val="0"/>
          <w:strike w:val="0"/>
          <w:sz w:val="22"/>
          <w:u w:val="single"/>
        </w:rPr>
        <w:t>market share across each of its international markets</w:t>
      </w:r>
      <w:r>
        <w:rPr>
          <w:b w:val="0"/>
          <w:i w:val="0"/>
          <w:smallCaps w:val="0"/>
          <w:strike w:val="0"/>
          <w:sz w:val="16"/>
          <w:u w:val="none"/>
        </w:rPr>
        <w:t>. In almost every international market, Subway trails behind local brands as well as U.S.-based competitors such as McDonald’s and Yum Brands, which have a combined market share of up to 70% in some overseas localities.</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