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It avoids court clog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John C. </w:t>
      </w:r>
      <w:r>
        <w:rPr>
          <w:b/>
          <w:i w:val="0"/>
          <w:smallCaps w:val="0"/>
          <w:strike w:val="0"/>
          <w:sz w:val="26"/>
          <w:u w:val="none"/>
        </w:rPr>
        <w:t>Paul 11</w:t>
      </w:r>
      <w:r>
        <w:rPr>
          <w:b w:val="0"/>
          <w:i w:val="0"/>
          <w:smallCaps w:val="0"/>
          <w:strike w:val="0"/>
          <w:u w:val="none"/>
        </w:rPr>
        <w:t>,</w:t>
      </w:r>
      <w:r>
        <w:rPr>
          <w:b w:val="0"/>
          <w:i w:val="0"/>
          <w:smallCaps w:val="0"/>
          <w:strike w:val="0"/>
          <w:u w:val="none"/>
        </w:rPr>
        <w:t xml:space="preserve"> John Paul is a partner at Finnegan,</w:t>
      </w:r>
      <w:r>
        <w:rPr>
          <w:b w:val="0"/>
          <w:i w:val="0"/>
          <w:smallCaps w:val="0"/>
          <w:strike w:val="0"/>
          <w:u w:val="none"/>
        </w:rPr>
        <w:t xml:space="preserve"> 2-28-2011, "Patent Owners Can More Easily Enjoin Infringers by Using the ITC Rather Than Federal District Courts", Finnegan | Leading IP+ Law Firm, https://www.finnegan.com/en/insights/articles/patent-owners-can-more-easily-enjoin-infringers-by-using-the-itc.html</w:t>
      </w:r>
      <w:r>
        <w:rPr>
          <w:b w:val="0"/>
          <w:i w:val="0"/>
          <w:smallCaps w:val="0"/>
          <w:strike w:val="0"/>
          <w:u w:val="none"/>
        </w:rPr>
        <w:t>//susu</w:t>
      </w:r>
    </w:p>
    <w:p>
      <w:pPr>
        <w:spacing w:after="60"/>
      </w:pPr>
      <w:r>
        <w:rPr>
          <w:b w:val="0"/>
          <w:i w:val="0"/>
          <w:smallCaps w:val="0"/>
          <w:strike w:val="0"/>
          <w:u w:val="single"/>
        </w:rPr>
        <w:t xml:space="preserve">For </w:t>
      </w:r>
      <w:r>
        <w:rPr>
          <w:b/>
          <w:i w:val="0"/>
          <w:smallCaps w:val="0"/>
          <w:strike w:val="0"/>
          <w:u w:val="single"/>
        </w:rPr>
        <w:t>patent owners</w:t>
      </w:r>
      <w:r>
        <w:rPr>
          <w:b w:val="0"/>
          <w:i w:val="0"/>
          <w:smallCaps w:val="0"/>
          <w:strike w:val="0"/>
          <w:u w:val="single"/>
        </w:rPr>
        <w:t xml:space="preserve">, the ability to obtain an </w:t>
      </w:r>
      <w:r>
        <w:rPr>
          <w:b/>
          <w:i w:val="0"/>
          <w:smallCaps w:val="0"/>
          <w:strike w:val="0"/>
          <w:u w:val="single"/>
        </w:rPr>
        <w:t>injunction</w:t>
      </w:r>
      <w:r>
        <w:rPr>
          <w:b w:val="0"/>
          <w:i w:val="0"/>
          <w:smallCaps w:val="0"/>
          <w:strike w:val="0"/>
          <w:u w:val="single"/>
        </w:rPr>
        <w:t xml:space="preserve"> often provides a great deal of leverage in license negotiations. Historically, the grant of an injunction was seen as </w:t>
      </w:r>
      <w:r>
        <w:rPr>
          <w:b/>
          <w:i w:val="0"/>
          <w:smallCaps w:val="0"/>
          <w:strike w:val="0"/>
          <w:u w:val="single"/>
        </w:rPr>
        <w:t>a foregone conclusion</w:t>
      </w:r>
      <w:r>
        <w:rPr>
          <w:b w:val="0"/>
          <w:i w:val="0"/>
          <w:smallCaps w:val="0"/>
          <w:strike w:val="0"/>
          <w:u w:val="single"/>
        </w:rPr>
        <w:t xml:space="preserve"> following a finding of infringement</w:t>
      </w:r>
      <w:r>
        <w:rPr>
          <w:b w:val="0"/>
          <w:i w:val="0"/>
          <w:smallCaps w:val="0"/>
          <w:strike w:val="0"/>
          <w:u w:val="none"/>
        </w:rPr>
        <w:t xml:space="preserve">.  </w:t>
      </w:r>
      <w:r>
        <w:rPr>
          <w:b w:val="0"/>
          <w:i w:val="0"/>
          <w:smallCaps w:val="0"/>
          <w:strike w:val="0"/>
          <w:sz w:val="12"/>
          <w:u w:val="none"/>
        </w:rPr>
        <w:t xml:space="preserve">But the Supreme Court’s decision in </w:t>
      </w:r>
      <w:r>
        <w:rPr>
          <w:b w:val="0"/>
          <w:i/>
          <w:smallCaps w:val="0"/>
          <w:strike w:val="0"/>
          <w:sz w:val="12"/>
          <w:u w:val="none"/>
        </w:rPr>
        <w:t xml:space="preserve">eBay v. MercExchange </w:t>
      </w:r>
      <w:r>
        <w:rPr>
          <w:b w:val="0"/>
          <w:i w:val="0"/>
          <w:smallCaps w:val="0"/>
          <w:strike w:val="0"/>
          <w:sz w:val="12"/>
          <w:u w:val="none"/>
        </w:rPr>
        <w:t>altered that equation by making injunctions more difficult to obtain, particularly for non-practicing patent owners, who do not make and sell products covered by the patents. As a result, many patent owners have turned to the U.S. International Trade Commission (“ITC”) as an alternative to U.S. District Courts for prosecuting infringement suits.</w:t>
      </w:r>
    </w:p>
    <w:p>
      <w:pPr>
        <w:spacing w:after="60"/>
      </w:pPr>
      <w:r>
        <w:rPr>
          <w:b w:val="0"/>
          <w:i w:val="0"/>
          <w:smallCaps w:val="0"/>
          <w:strike w:val="0"/>
          <w:sz w:val="12"/>
          <w:u w:val="none"/>
        </w:rPr>
        <w:t>The ITC permits a patent owner to enforce its rights against an entity that imports allegedly infringing products in the United States. And like a U.S. District Court, the ITC also has the power to issue injunctions, called “exclusion orders,” to stop infringing products from being imported into the U.S.</w:t>
      </w:r>
    </w:p>
    <w:p>
      <w:pPr>
        <w:spacing w:after="60"/>
      </w:pPr>
      <w:r>
        <w:rPr>
          <w:b w:val="0"/>
          <w:i w:val="0"/>
          <w:smallCaps w:val="0"/>
          <w:strike w:val="0"/>
          <w:sz w:val="12"/>
          <w:u w:val="none"/>
        </w:rPr>
        <w:t xml:space="preserve">There was a question as to whether the standard for injunctive relief at the ITC is the same as that for a U.S. District Court. And in </w:t>
      </w:r>
      <w:r>
        <w:rPr>
          <w:b w:val="0"/>
          <w:i/>
          <w:smallCaps w:val="0"/>
          <w:strike w:val="0"/>
          <w:sz w:val="12"/>
          <w:u w:val="none"/>
        </w:rPr>
        <w:t>Spansion v. Int’l Trade Comm’n</w:t>
      </w:r>
      <w:r>
        <w:rPr>
          <w:b w:val="0"/>
          <w:i w:val="0"/>
          <w:smallCaps w:val="0"/>
          <w:strike w:val="0"/>
          <w:sz w:val="12"/>
          <w:u w:val="none"/>
        </w:rPr>
        <w:t>, Nos. 2009-1460, 1461, 1462, 1465 (Fed. Cir. Dec. 21, 2010),</w:t>
      </w:r>
      <w:r>
        <w:rPr>
          <w:b w:val="0"/>
          <w:i w:val="0"/>
          <w:smallCaps w:val="0"/>
          <w:strike w:val="0"/>
          <w:sz w:val="12"/>
          <w:u w:val="none"/>
        </w:rPr>
        <w:t>1</w:t>
      </w:r>
      <w:r>
        <w:rPr>
          <w:b w:val="0"/>
          <w:i w:val="0"/>
          <w:smallCaps w:val="0"/>
          <w:strike w:val="0"/>
          <w:sz w:val="12"/>
          <w:u w:val="none"/>
        </w:rPr>
        <w:t xml:space="preserve"> the Federal Circuit recently answered this question in the negative. </w:t>
      </w:r>
      <w:r>
        <w:rPr>
          <w:b w:val="0"/>
          <w:i w:val="0"/>
          <w:smallCaps w:val="0"/>
          <w:strike w:val="0"/>
          <w:u w:val="single"/>
        </w:rPr>
        <w:t xml:space="preserve">Specifically, the court held that the statutes applicable to the </w:t>
      </w:r>
      <w:r>
        <w:rPr>
          <w:b/>
          <w:i w:val="0"/>
          <w:smallCaps w:val="0"/>
          <w:strike w:val="0"/>
          <w:u w:val="single"/>
        </w:rPr>
        <w:t>ITC’s</w:t>
      </w:r>
      <w:r>
        <w:rPr>
          <w:b w:val="0"/>
          <w:i w:val="0"/>
          <w:smallCaps w:val="0"/>
          <w:strike w:val="0"/>
          <w:u w:val="single"/>
        </w:rPr>
        <w:t xml:space="preserve"> grant of an exclusion order do not require the application of the same </w:t>
      </w:r>
      <w:r>
        <w:rPr>
          <w:b/>
          <w:i w:val="0"/>
          <w:smallCaps w:val="0"/>
          <w:strike w:val="0"/>
          <w:u w:val="single"/>
        </w:rPr>
        <w:t>standard</w:t>
      </w:r>
      <w:r>
        <w:rPr>
          <w:b w:val="0"/>
          <w:i w:val="0"/>
          <w:smallCaps w:val="0"/>
          <w:strike w:val="0"/>
          <w:u w:val="single"/>
        </w:rPr>
        <w:t xml:space="preserve"> used by </w:t>
      </w:r>
      <w:r>
        <w:rPr>
          <w:b/>
          <w:i w:val="0"/>
          <w:smallCaps w:val="0"/>
          <w:strike w:val="0"/>
          <w:u w:val="single"/>
        </w:rPr>
        <w:t>U.S. District Courts</w:t>
      </w:r>
      <w:r>
        <w:rPr>
          <w:b w:val="0"/>
          <w:i w:val="0"/>
          <w:smallCaps w:val="0"/>
          <w:strike w:val="0"/>
          <w:u w:val="single"/>
        </w:rPr>
        <w:t xml:space="preserve"> to enter injunctions</w:t>
      </w:r>
      <w:r>
        <w:rPr>
          <w:b w:val="0"/>
          <w:i w:val="0"/>
          <w:smallCaps w:val="0"/>
          <w:strike w:val="0"/>
          <w:u w:val="none"/>
        </w:rPr>
        <w:t xml:space="preserve">. </w:t>
      </w:r>
      <w:r>
        <w:rPr>
          <w:b w:val="0"/>
          <w:i w:val="0"/>
          <w:smallCaps w:val="0"/>
          <w:strike w:val="0"/>
          <w:sz w:val="12"/>
          <w:u w:val="none"/>
        </w:rPr>
        <w:t>Moreover, while the ITC is required to consider certain “public interest” factors, those factors are not the same as those considered by a U.S. District Court.</w:t>
      </w:r>
    </w:p>
    <w:p>
      <w:pPr>
        <w:pStyle w:val="Caption"/>
      </w:pPr>
      <w:r>
        <w:t>Source: ITC CP - Michigan 2024 HHRS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