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ITC good---</w:t>
      </w:r>
      <w:r>
        <w:rPr>
          <w:b/>
          <w:i w:val="0"/>
          <w:smallCaps w:val="0"/>
          <w:strike w:val="0"/>
          <w:sz w:val="26"/>
          <w:u w:val="single"/>
        </w:rPr>
        <w:t>speed</w:t>
      </w:r>
      <w:r>
        <w:rPr>
          <w:b/>
          <w:i w:val="0"/>
          <w:smallCaps w:val="0"/>
          <w:strike w:val="0"/>
          <w:sz w:val="26"/>
          <w:u w:val="none"/>
        </w:rPr>
        <w:t xml:space="preserve">, </w:t>
      </w:r>
      <w:r>
        <w:rPr>
          <w:b/>
          <w:i w:val="0"/>
          <w:smallCaps w:val="0"/>
          <w:strike w:val="0"/>
          <w:sz w:val="26"/>
          <w:u w:val="single"/>
        </w:rPr>
        <w:t>flexibility</w:t>
      </w:r>
      <w:r>
        <w:rPr>
          <w:b/>
          <w:i w:val="0"/>
          <w:smallCaps w:val="0"/>
          <w:strike w:val="0"/>
          <w:sz w:val="26"/>
          <w:u w:val="none"/>
        </w:rPr>
        <w:t xml:space="preserve">, and </w:t>
      </w:r>
      <w:r>
        <w:rPr>
          <w:b/>
          <w:i w:val="0"/>
          <w:smallCaps w:val="0"/>
          <w:strike w:val="0"/>
          <w:sz w:val="26"/>
          <w:u w:val="single"/>
        </w:rPr>
        <w:t>powerful remedies</w:t>
      </w:r>
    </w:p>
    <w:p>
      <w:pPr>
        <w:spacing w:after="80"/>
      </w:pPr>
      <w:r>
        <w:rPr>
          <w:b/>
          <w:i w:val="0"/>
          <w:smallCaps w:val="0"/>
          <w:strike w:val="0"/>
          <w:sz w:val="26"/>
          <w:u w:val="none"/>
        </w:rPr>
        <w:t xml:space="preserve">Hickerson 18 </w:t>
      </w:r>
      <w:r>
        <w:rPr>
          <w:b w:val="0"/>
          <w:i w:val="0"/>
          <w:smallCaps w:val="0"/>
          <w:strike w:val="0"/>
          <w:u w:val="none"/>
        </w:rPr>
        <w:t>(</w:t>
      </w:r>
      <w:r>
        <w:rPr>
          <w:b w:val="0"/>
          <w:i w:val="0"/>
          <w:smallCaps w:val="0"/>
          <w:strike w:val="0"/>
          <w:u w:val="none"/>
        </w:rPr>
        <w:t>David Hickerson, L</w:t>
      </w:r>
      <w:r>
        <w:rPr>
          <w:b w:val="0"/>
          <w:i w:val="0"/>
          <w:smallCaps w:val="0"/>
          <w:strike w:val="0"/>
          <w:u w:val="none"/>
        </w:rPr>
        <w:t>itigation attorney with more than three decades of experience representing clients before courts and federal agencies in government enforcement matters, and civil and criminal litigation</w:t>
      </w:r>
      <w:r>
        <w:rPr>
          <w:b w:val="0"/>
          <w:i w:val="0"/>
          <w:smallCaps w:val="0"/>
          <w:strike w:val="0"/>
          <w:u w:val="none"/>
        </w:rPr>
        <w:t>, “</w:t>
      </w:r>
      <w:r>
        <w:rPr>
          <w:b w:val="0"/>
          <w:i w:val="0"/>
          <w:smallCaps w:val="0"/>
          <w:strike w:val="0"/>
          <w:u w:val="none"/>
        </w:rPr>
        <w:t>Is the International Trade Commission the Most Patent-Friendly Venue with a Complainant Success Rate Near 90%</w:t>
      </w:r>
      <w:r>
        <w:rPr>
          <w:b w:val="0"/>
          <w:i w:val="0"/>
          <w:smallCaps w:val="0"/>
          <w:strike w:val="0"/>
          <w:u w:val="none"/>
        </w:rPr>
        <w:t xml:space="preserve">,” Foley &amp; Lardner, </w:t>
      </w:r>
      <w:r>
        <w:rPr>
          <w:b w:val="0"/>
          <w:i w:val="0"/>
          <w:smallCaps w:val="0"/>
          <w:strike w:val="0"/>
          <w:u w:val="none"/>
        </w:rPr>
        <w:t>https://www.foley.com/insights/publications/2018/04/is-the-international-trade-commission-the-most-pat/</w:t>
      </w:r>
      <w:r>
        <w:rPr>
          <w:b w:val="0"/>
          <w:i w:val="0"/>
          <w:smallCaps w:val="0"/>
          <w:strike w:val="0"/>
          <w:u w:val="none"/>
        </w:rPr>
        <w:t>)//PA-NN</w:t>
      </w:r>
    </w:p>
    <w:p>
      <w:pPr>
        <w:spacing w:after="60"/>
      </w:pPr>
      <w:r>
        <w:rPr>
          <w:b w:val="0"/>
          <w:i w:val="0"/>
          <w:smallCaps w:val="0"/>
          <w:strike w:val="0"/>
          <w:u w:val="single"/>
        </w:rPr>
        <w:t xml:space="preserve">There are </w:t>
      </w:r>
      <w:r>
        <w:rPr>
          <w:b/>
          <w:i w:val="0"/>
          <w:smallCaps w:val="0"/>
          <w:strike w:val="0"/>
          <w:sz w:val="24"/>
          <w:u w:val="single"/>
        </w:rPr>
        <w:t>many advantages</w:t>
      </w:r>
      <w:r>
        <w:rPr>
          <w:b w:val="0"/>
          <w:i w:val="0"/>
          <w:smallCaps w:val="0"/>
          <w:strike w:val="0"/>
          <w:u w:val="single"/>
        </w:rPr>
        <w:t xml:space="preserve"> to pursuing relief for patent infringement in the International Trade Commission (ITC) </w:t>
      </w:r>
      <w:r>
        <w:rPr>
          <w:b/>
          <w:i w:val="0"/>
          <w:smallCaps w:val="0"/>
          <w:strike w:val="0"/>
          <w:sz w:val="24"/>
          <w:u w:val="single"/>
        </w:rPr>
        <w:t>compared to U.S. district court</w:t>
      </w:r>
      <w:r>
        <w:rPr>
          <w:b w:val="0"/>
          <w:i w:val="0"/>
          <w:smallCaps w:val="0"/>
          <w:strike w:val="0"/>
          <w:u w:val="none"/>
        </w:rPr>
        <w:t>, but one that receives little attention is the success rate for complainants (plaintiffs). The rate has been climbing for years and reached nearly 90% for cases decided on the merits in 2017.  With such a high rate of success and the many other advantages for complainants, the ITC should be on every patent owner’s radar.</w:t>
      </w:r>
    </w:p>
    <w:p>
      <w:pPr>
        <w:spacing w:after="60"/>
      </w:pPr>
      <w:r>
        <w:rPr>
          <w:b w:val="0"/>
          <w:i w:val="0"/>
          <w:smallCaps w:val="0"/>
          <w:strike w:val="0"/>
          <w:u w:val="none"/>
        </w:rPr>
        <w:t>T</w:t>
      </w:r>
      <w:r>
        <w:rPr>
          <w:b w:val="0"/>
          <w:i w:val="0"/>
          <w:smallCaps w:val="0"/>
          <w:strike w:val="0"/>
          <w:u w:val="single"/>
        </w:rPr>
        <w:t>he ITC has authority to hear patent infringement cases under Section 337 of the Tariff Act.</w:t>
      </w:r>
      <w:r>
        <w:rPr>
          <w:b w:val="0"/>
          <w:i w:val="0"/>
          <w:smallCaps w:val="0"/>
          <w:strike w:val="0"/>
          <w:u w:val="none"/>
        </w:rPr>
        <w:t xml:space="preserve"> Section 337 limits the ITC’s authority to patent cases in which a complainant alleges infringement by the importation, the sale for importation, or sale after importation in the United States of an accused product.  The complainant also must allege that a domestic industry exists or is in the process of being established in the United States.  The domestic industry must be the result of efforts by the complainant or its licensees to invest in or exploit the patented article or technology.</w:t>
      </w:r>
    </w:p>
    <w:p>
      <w:pPr>
        <w:spacing w:after="60"/>
      </w:pPr>
      <w:r>
        <w:rPr>
          <w:b w:val="0"/>
          <w:i w:val="0"/>
          <w:smallCaps w:val="0"/>
          <w:strike w:val="0"/>
          <w:u w:val="none"/>
        </w:rPr>
        <w:t xml:space="preserve">If a complainant can meet these requirements, Section 337 offers many advantages compared to U.S. district court proceedings. </w:t>
      </w:r>
      <w:r>
        <w:rPr>
          <w:b w:val="0"/>
          <w:i w:val="0"/>
          <w:smallCaps w:val="0"/>
          <w:strike w:val="0"/>
          <w:u w:val="single"/>
        </w:rPr>
        <w:t>First, Section 337 cases are extremely fast-paced and usually are completed within 12 to 15 months from institution</w:t>
      </w:r>
      <w:r>
        <w:rPr>
          <w:b w:val="0"/>
          <w:i w:val="0"/>
          <w:smallCaps w:val="0"/>
          <w:strike w:val="0"/>
          <w:u w:val="none"/>
        </w:rPr>
        <w:t xml:space="preserve">.  In line with this rocket docket, the ITC will not stay proceedings for parallel inter partes review of asserted patents.  By comparison, </w:t>
      </w:r>
      <w:r>
        <w:rPr>
          <w:b w:val="0"/>
          <w:i w:val="0"/>
          <w:smallCaps w:val="0"/>
          <w:strike w:val="0"/>
          <w:u w:val="single"/>
        </w:rPr>
        <w:t>U.S. district court proceedings often take several years and delays</w:t>
      </w:r>
      <w:r>
        <w:rPr>
          <w:b w:val="0"/>
          <w:i w:val="0"/>
          <w:smallCaps w:val="0"/>
          <w:strike w:val="0"/>
          <w:u w:val="none"/>
        </w:rPr>
        <w:t xml:space="preserve"> are only exacerbated by stays due to parallel inter partes reviews.</w:t>
      </w:r>
    </w:p>
    <w:p>
      <w:pPr>
        <w:spacing w:after="60"/>
      </w:pPr>
      <w:r>
        <w:rPr>
          <w:b w:val="0"/>
          <w:i w:val="0"/>
          <w:smallCaps w:val="0"/>
          <w:strike w:val="0"/>
          <w:u w:val="none"/>
        </w:rPr>
        <w:t xml:space="preserve">Second, </w:t>
      </w:r>
      <w:r>
        <w:rPr>
          <w:b w:val="0"/>
          <w:i w:val="0"/>
          <w:smallCaps w:val="0"/>
          <w:strike w:val="0"/>
          <w:u w:val="single"/>
        </w:rPr>
        <w:t>the ITC offers great flexibility in defining cases</w:t>
      </w:r>
      <w:r>
        <w:rPr>
          <w:b w:val="0"/>
          <w:i w:val="0"/>
          <w:smallCaps w:val="0"/>
          <w:strike w:val="0"/>
          <w:u w:val="none"/>
        </w:rPr>
        <w:t xml:space="preserve">. While the typical ITC case involves a domestic complainant and a foreign respondent, there is no obstacle to foreign entities bringing Section 337 cases.  Jurisdiction for Section 337 cases is in rem rather than in personam, meaning it is over the accused product rather than a proposed respondent.  Because there are no forum issues to resolve related to personal jurisdiction or venue, </w:t>
      </w:r>
      <w:r>
        <w:rPr>
          <w:b w:val="0"/>
          <w:i w:val="0"/>
          <w:smallCaps w:val="0"/>
          <w:strike w:val="0"/>
          <w:u w:val="single"/>
        </w:rPr>
        <w:t>a single Section 337 case can address infringement by multiple parties and products.  By comparison, forum restrictions plague U.S. district courts with the anti-joinder limitations of the America Invents Act</w:t>
      </w:r>
      <w:r>
        <w:rPr>
          <w:b w:val="0"/>
          <w:i w:val="0"/>
          <w:smallCaps w:val="0"/>
          <w:strike w:val="0"/>
          <w:u w:val="none"/>
        </w:rPr>
        <w:t xml:space="preserve"> and venue restrictions of TC Heartland v. Kraft Foods, 137 S. Ct. 1514 (2017).</w:t>
      </w:r>
    </w:p>
    <w:p>
      <w:pPr>
        <w:spacing w:after="60"/>
      </w:pPr>
      <w:r>
        <w:rPr>
          <w:b w:val="0"/>
          <w:i w:val="0"/>
          <w:smallCaps w:val="0"/>
          <w:strike w:val="0"/>
          <w:u w:val="none"/>
        </w:rPr>
        <w:t xml:space="preserve">Third, the </w:t>
      </w:r>
      <w:r>
        <w:rPr>
          <w:b w:val="0"/>
          <w:i w:val="0"/>
          <w:smallCaps w:val="0"/>
          <w:strike w:val="0"/>
          <w:u w:val="single"/>
        </w:rPr>
        <w:t>ITC offers powerful remedies</w:t>
      </w:r>
      <w:r>
        <w:rPr>
          <w:b w:val="0"/>
          <w:i w:val="0"/>
          <w:smallCaps w:val="0"/>
          <w:strike w:val="0"/>
          <w:u w:val="none"/>
        </w:rPr>
        <w:t xml:space="preserve">. The default remedy in a Section 337 case is an exclusion order which is comparable to an injunction issued by a district court.  An exclusion order prohibits infringing products from entering the United States.  The threat of this extreme remedy often leads to larger settlements for patent owners.  By comparison, in </w:t>
      </w:r>
      <w:r>
        <w:rPr>
          <w:b w:val="0"/>
          <w:i w:val="0"/>
          <w:smallCaps w:val="0"/>
          <w:strike w:val="0"/>
          <w:u w:val="single"/>
        </w:rPr>
        <w:t>district court injunctions are no longer an automatic remedy for patent infringement after the Supreme Court’s decision in eBay v. MercExchange</w:t>
      </w:r>
      <w:r>
        <w:rPr>
          <w:b w:val="0"/>
          <w:i w:val="0"/>
          <w:smallCaps w:val="0"/>
          <w:strike w:val="0"/>
          <w:u w:val="none"/>
        </w:rPr>
        <w:t>, 126 S. Ct. 1837 (2006).</w:t>
      </w:r>
    </w:p>
    <w:p>
      <w:pPr>
        <w:pStyle w:val="Caption"/>
      </w:pPr>
      <w:r>
        <w:t>Source: ITC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