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Overlapping jurisdiction causes uncertainty, ITC overturns courts which </w:t>
      </w:r>
      <w:r>
        <w:rPr>
          <w:b/>
          <w:i w:val="0"/>
          <w:smallCaps w:val="0"/>
          <w:strike w:val="0"/>
          <w:sz w:val="26"/>
          <w:u w:val="none"/>
        </w:rPr>
        <w:t>kills</w:t>
      </w:r>
      <w:r>
        <w:rPr>
          <w:b/>
          <w:i w:val="0"/>
          <w:smallCaps w:val="0"/>
          <w:strike w:val="0"/>
          <w:sz w:val="26"/>
          <w:u w:val="none"/>
        </w:rPr>
        <w:t xml:space="preserve"> the IT</w:t>
      </w:r>
      <w:r>
        <w:rPr>
          <w:b/>
          <w:i w:val="0"/>
          <w:smallCaps w:val="0"/>
          <w:strike w:val="0"/>
          <w:sz w:val="26"/>
          <w:u w:val="none"/>
        </w:rPr>
        <w:t>C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Dennis </w:t>
      </w:r>
      <w:r>
        <w:rPr>
          <w:b/>
          <w:i w:val="0"/>
          <w:smallCaps w:val="0"/>
          <w:strike w:val="0"/>
          <w:sz w:val="26"/>
          <w:u w:val="none"/>
        </w:rPr>
        <w:t>Crouch 20</w:t>
      </w:r>
      <w:r>
        <w:rPr>
          <w:b w:val="0"/>
          <w:i w:val="0"/>
          <w:smallCaps w:val="0"/>
          <w:strike w:val="0"/>
          <w:u w:val="none"/>
        </w:rPr>
        <w:t>, Professor, University of Missouri School of Law, 1-14-2020, "Parallel District Court and ITC Litigation", Patently-O, https://patentlyo.com/patent/2020/01/parallel-district-litigation.html</w:t>
      </w:r>
      <w:r>
        <w:rPr>
          <w:b w:val="0"/>
          <w:i w:val="0"/>
          <w:smallCaps w:val="0"/>
          <w:strike w:val="0"/>
          <w:u w:val="none"/>
        </w:rPr>
        <w:t>//susu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On appeal, the </w:t>
      </w:r>
      <w:r>
        <w:rPr>
          <w:b/>
          <w:i w:val="0"/>
          <w:smallCaps w:val="0"/>
          <w:strike w:val="0"/>
          <w:u w:val="single"/>
        </w:rPr>
        <w:t>Federal Circuit</w:t>
      </w:r>
      <w:r>
        <w:rPr>
          <w:b w:val="0"/>
          <w:i w:val="0"/>
          <w:smallCaps w:val="0"/>
          <w:strike w:val="0"/>
          <w:u w:val="single"/>
        </w:rPr>
        <w:t xml:space="preserve"> has affirming the claim construction and thus the resulting </w:t>
      </w:r>
      <w:r>
        <w:rPr>
          <w:b/>
          <w:i w:val="0"/>
          <w:smallCaps w:val="0"/>
          <w:strike w:val="0"/>
          <w:u w:val="single"/>
        </w:rPr>
        <w:t>non-infringeme</w:t>
      </w:r>
      <w:r>
        <w:rPr>
          <w:b w:val="0"/>
          <w:i w:val="0"/>
          <w:smallCaps w:val="0"/>
          <w:strike w:val="0"/>
          <w:u w:val="single"/>
        </w:rPr>
        <w:t xml:space="preserve">nt and </w:t>
      </w:r>
      <w:r>
        <w:rPr>
          <w:b/>
          <w:i w:val="0"/>
          <w:smallCaps w:val="0"/>
          <w:strike w:val="0"/>
          <w:u w:val="single"/>
        </w:rPr>
        <w:t>obviousness decisions</w:t>
      </w:r>
      <w:r>
        <w:rPr>
          <w:b w:val="0"/>
          <w:i w:val="0"/>
          <w:smallCaps w:val="0"/>
          <w:strike w:val="0"/>
          <w:u w:val="single"/>
        </w:rPr>
        <w:t>.  In the process, the appellate panel reiterated the lower court’s statement that “ARM’s insistence on trying [the case] was largely a charade used for the purpose of extending the life of the earlier ITC . . . order.”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12"/>
          <w:u w:val="none"/>
        </w:rPr>
        <w:t xml:space="preserve">Normal preclusion rules do not apply to interactions between the ITC and District Court. See, </w:t>
      </w:r>
      <w:r>
        <w:rPr>
          <w:b w:val="0"/>
          <w:i/>
          <w:smallCaps w:val="0"/>
          <w:strike w:val="0"/>
          <w:sz w:val="12"/>
          <w:u w:val="none"/>
        </w:rPr>
        <w:t>Tandon Corp. v. U.S. Int’l Trade Comm’n</w:t>
      </w:r>
      <w:r>
        <w:rPr>
          <w:b w:val="0"/>
          <w:i w:val="0"/>
          <w:smallCaps w:val="0"/>
          <w:strike w:val="0"/>
          <w:sz w:val="12"/>
          <w:u w:val="none"/>
        </w:rPr>
        <w:t>, 831 F.2d 1017, 1018 (Fed. Cir. 1987)</w:t>
      </w:r>
      <w:r>
        <w:rPr>
          <w:b w:val="0"/>
          <w:i w:val="0"/>
          <w:smallCaps w:val="0"/>
          <w:strike w:val="0"/>
          <w:u w:val="none"/>
        </w:rPr>
        <w:t xml:space="preserve"> (</w:t>
      </w:r>
      <w:r>
        <w:rPr>
          <w:b w:val="0"/>
          <w:i w:val="0"/>
          <w:smallCaps w:val="0"/>
          <w:strike w:val="0"/>
          <w:u w:val="single"/>
        </w:rPr>
        <w:t>even appellate treatment of an ITC decision “</w:t>
      </w:r>
      <w:r>
        <w:rPr>
          <w:b/>
          <w:i w:val="0"/>
          <w:smallCaps w:val="0"/>
          <w:strike w:val="0"/>
          <w:u w:val="single"/>
        </w:rPr>
        <w:t>does n</w:t>
      </w:r>
      <w:r>
        <w:rPr>
          <w:b w:val="0"/>
          <w:i w:val="0"/>
          <w:smallCaps w:val="0"/>
          <w:strike w:val="0"/>
          <w:u w:val="single"/>
        </w:rPr>
        <w:t xml:space="preserve">ot </w:t>
      </w:r>
      <w:r>
        <w:rPr>
          <w:b/>
          <w:i w:val="0"/>
          <w:smallCaps w:val="0"/>
          <w:strike w:val="0"/>
          <w:u w:val="single"/>
        </w:rPr>
        <w:t>estop fresh consideration by other tribunal</w:t>
      </w:r>
      <w:r>
        <w:rPr>
          <w:b w:val="0"/>
          <w:i w:val="0"/>
          <w:smallCaps w:val="0"/>
          <w:strike w:val="0"/>
          <w:u w:val="single"/>
        </w:rPr>
        <w:t>s</w:t>
      </w:r>
      <w:r>
        <w:rPr>
          <w:b w:val="0"/>
          <w:i w:val="0"/>
          <w:smallCaps w:val="0"/>
          <w:strike w:val="0"/>
          <w:sz w:val="12"/>
          <w:u w:val="none"/>
        </w:rPr>
        <w:t>”); S.Rep. No. 1298, 93d Cong., 2d Sess. 196 (“it seems clear that any disposition of a Commission action by a Federal Court should not have a res judicata or collateral estoppel effect in [infringement] cases before such [district] courts.”).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An invalidity decision in district court </w:t>
      </w:r>
      <w:r>
        <w:rPr>
          <w:b/>
          <w:i w:val="0"/>
          <w:smallCaps w:val="0"/>
          <w:strike w:val="0"/>
          <w:u w:val="single"/>
        </w:rPr>
        <w:t>does not</w:t>
      </w:r>
      <w:r>
        <w:rPr>
          <w:b w:val="0"/>
          <w:i w:val="0"/>
          <w:smallCaps w:val="0"/>
          <w:strike w:val="0"/>
          <w:u w:val="single"/>
        </w:rPr>
        <w:t xml:space="preserve"> automatically cancel an ITC exclusion order. Rather, the ITC can </w:t>
      </w:r>
      <w:r>
        <w:rPr>
          <w:b/>
          <w:i w:val="0"/>
          <w:smallCaps w:val="0"/>
          <w:strike w:val="0"/>
          <w:u w:val="single"/>
        </w:rPr>
        <w:t>rescind its decision</w:t>
      </w:r>
      <w:r>
        <w:rPr>
          <w:b w:val="0"/>
          <w:i w:val="0"/>
          <w:smallCaps w:val="0"/>
          <w:strike w:val="0"/>
          <w:u w:val="single"/>
        </w:rPr>
        <w:t xml:space="preserve"> based upon evidence that “the conditions which led to such </w:t>
      </w:r>
      <w:r>
        <w:rPr>
          <w:b/>
          <w:i w:val="0"/>
          <w:smallCaps w:val="0"/>
          <w:strike w:val="0"/>
          <w:u w:val="single"/>
        </w:rPr>
        <w:t>exclusion from entry or order no longer exist</w:t>
      </w:r>
      <w:r>
        <w:rPr>
          <w:b w:val="0"/>
          <w:i w:val="0"/>
          <w:smallCaps w:val="0"/>
          <w:strike w:val="0"/>
          <w:u w:val="none"/>
        </w:rPr>
        <w:t xml:space="preserve">.” Section 337(k)(1).  </w:t>
      </w:r>
      <w:r>
        <w:rPr>
          <w:b w:val="0"/>
          <w:i w:val="0"/>
          <w:smallCaps w:val="0"/>
          <w:strike w:val="0"/>
          <w:u w:val="single"/>
        </w:rPr>
        <w:t xml:space="preserve">Following the district court decision, the ITC issued a temporary rescission order that will likely be made </w:t>
      </w:r>
      <w:r>
        <w:rPr>
          <w:b/>
          <w:i w:val="0"/>
          <w:smallCaps w:val="0"/>
          <w:strike w:val="0"/>
          <w:u w:val="single"/>
        </w:rPr>
        <w:t>permanent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u w:val="single"/>
        </w:rPr>
        <w:t>now</w:t>
      </w:r>
      <w:r>
        <w:rPr>
          <w:b w:val="0"/>
          <w:i w:val="0"/>
          <w:smallCaps w:val="0"/>
          <w:strike w:val="0"/>
          <w:u w:val="single"/>
        </w:rPr>
        <w:t xml:space="preserve"> — allowing Eko to keep importing</w:t>
      </w:r>
      <w:r>
        <w:rPr>
          <w:b w:val="0"/>
          <w:i w:val="0"/>
          <w:smallCaps w:val="0"/>
          <w:strike w:val="0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>s</w:t>
      </w:r>
      <w:r>
        <w:rPr>
          <w:b w:val="0"/>
          <w:i w:val="0"/>
          <w:smallCaps w:val="0"/>
          <w:strike w:val="0"/>
          <w:u w:val="none"/>
        </w:rPr>
        <w:t>s</w:t>
      </w:r>
    </w:p>
    <w:p>
      <w:pPr>
        <w:pStyle w:val="Caption"/>
      </w:pPr>
      <w:r>
        <w:t>Source: ITC CP - Michigan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