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ITC enforcement </w:t>
      </w:r>
      <w:r>
        <w:rPr>
          <w:b/>
          <w:i w:val="0"/>
          <w:smallCaps w:val="0"/>
          <w:strike w:val="0"/>
          <w:sz w:val="26"/>
          <w:u w:val="single"/>
        </w:rPr>
        <w:t>overwhelmingly</w:t>
      </w:r>
      <w:r>
        <w:rPr>
          <w:b/>
          <w:i w:val="0"/>
          <w:smallCaps w:val="0"/>
          <w:strike w:val="0"/>
          <w:sz w:val="26"/>
          <w:u w:val="none"/>
        </w:rPr>
        <w:t xml:space="preserve"> favors NPEs.</w:t>
      </w:r>
    </w:p>
    <w:p>
      <w:pPr>
        <w:spacing w:after="80"/>
      </w:pPr>
      <w:r>
        <w:rPr>
          <w:b w:val="0"/>
          <w:i w:val="0"/>
          <w:smallCaps w:val="0"/>
          <w:strike w:val="0"/>
          <w:u w:val="none"/>
        </w:rPr>
        <w:t xml:space="preserve">Joe </w:t>
      </w:r>
      <w:r>
        <w:rPr>
          <w:b/>
          <w:i w:val="0"/>
          <w:smallCaps w:val="0"/>
          <w:strike w:val="0"/>
          <w:sz w:val="26"/>
          <w:u w:val="none"/>
        </w:rPr>
        <w:t xml:space="preserve">Galvin </w:t>
      </w:r>
      <w:r>
        <w:rPr>
          <w:b/>
          <w:i w:val="0"/>
          <w:smallCaps w:val="0"/>
          <w:strike w:val="0"/>
          <w:sz w:val="26"/>
          <w:u w:val="none"/>
        </w:rPr>
        <w:t>ND</w:t>
      </w:r>
      <w:r>
        <w:rPr>
          <w:b w:val="0"/>
          <w:i w:val="0"/>
          <w:smallCaps w:val="0"/>
          <w:strike w:val="0"/>
          <w:u w:val="none"/>
        </w:rPr>
        <w:t>,</w:t>
      </w:r>
      <w:r>
        <w:rPr>
          <w:b w:val="0"/>
          <w:i w:val="0"/>
          <w:smallCaps w:val="0"/>
          <w:strike w:val="0"/>
          <w:color w:val="494949"/>
          <w:sz w:val="27"/>
          <w:u w:val="none"/>
        </w:rPr>
        <w:t xml:space="preserve"> </w:t>
      </w:r>
      <w:r>
        <w:rPr>
          <w:b w:val="0"/>
          <w:i w:val="0"/>
          <w:smallCaps w:val="0"/>
          <w:strike w:val="0"/>
          <w:u w:val="none"/>
        </w:rPr>
        <w:t>focuses his practice on intellectual property litigation, representing industry-leading clients in complex litigation matters before the Patent Trial and Appeal Board (PTAB), International Trade Commission (ITC), and various district courts</w:t>
      </w:r>
      <w:r>
        <w:rPr>
          <w:b w:val="0"/>
          <w:i w:val="0"/>
          <w:smallCaps w:val="0"/>
          <w:strike w:val="0"/>
          <w:u w:val="none"/>
        </w:rPr>
        <w:t>, “</w:t>
      </w:r>
      <w:r>
        <w:rPr>
          <w:b w:val="0"/>
          <w:i w:val="0"/>
          <w:smallCaps w:val="0"/>
          <w:strike w:val="0"/>
          <w:u w:val="none"/>
        </w:rPr>
        <w:t>The International Trade Commission, Though Designed to Protect Domestic Industry, Frequently Threatens It</w:t>
      </w:r>
      <w:r>
        <w:rPr>
          <w:b w:val="0"/>
          <w:i w:val="0"/>
          <w:smallCaps w:val="0"/>
          <w:strike w:val="0"/>
          <w:u w:val="none"/>
        </w:rPr>
        <w:t xml:space="preserve">,” </w:t>
      </w:r>
      <w:r>
        <w:rPr>
          <w:b w:val="0"/>
          <w:i w:val="0"/>
          <w:smallCaps w:val="0"/>
          <w:strike w:val="0"/>
          <w:u w:val="none"/>
        </w:rPr>
        <w:t>https://www.aipla.org/list/innovate-articles/the-international-trade-commission-though-designed-to-protect-domestic-industry-frequently-threatens-it</w:t>
      </w:r>
      <w:r>
        <w:rPr>
          <w:b w:val="0"/>
          <w:i w:val="0"/>
          <w:smallCaps w:val="0"/>
          <w:strike w:val="0"/>
          <w:u w:val="none"/>
        </w:rPr>
        <w:t>, avr</w:t>
      </w:r>
    </w:p>
    <w:p>
      <w:pPr>
        <w:spacing w:after="60"/>
      </w:pPr>
      <w:r>
        <w:rPr>
          <w:b w:val="0"/>
          <w:i w:val="0"/>
          <w:smallCaps w:val="0"/>
          <w:strike w:val="0"/>
          <w:u w:val="none"/>
        </w:rPr>
        <w:t xml:space="preserve">The </w:t>
      </w:r>
      <w:r>
        <w:rPr>
          <w:b w:val="0"/>
          <w:i w:val="0"/>
          <w:smallCaps w:val="0"/>
          <w:strike w:val="0"/>
          <w:sz w:val="22"/>
          <w:u w:val="single"/>
        </w:rPr>
        <w:t>International Trade Commission</w:t>
      </w:r>
      <w:r>
        <w:rPr>
          <w:b w:val="0"/>
          <w:i w:val="0"/>
          <w:smallCaps w:val="0"/>
          <w:strike w:val="0"/>
          <w:u w:val="none"/>
        </w:rPr>
        <w:t xml:space="preserve"> (</w:t>
      </w:r>
      <w:r>
        <w:rPr>
          <w:b/>
          <w:i w:val="0"/>
          <w:smallCaps w:val="0"/>
          <w:strike w:val="0"/>
          <w:sz w:val="24"/>
          <w:u w:val="single"/>
        </w:rPr>
        <w:t>ITC</w:t>
      </w:r>
      <w:r>
        <w:rPr>
          <w:b w:val="0"/>
          <w:i w:val="0"/>
          <w:smallCaps w:val="0"/>
          <w:strike w:val="0"/>
          <w:u w:val="none"/>
        </w:rPr>
        <w:t xml:space="preserve">) has power under Section 337 of the Tariff Act to </w:t>
      </w:r>
      <w:r>
        <w:rPr>
          <w:b/>
          <w:i w:val="0"/>
          <w:smallCaps w:val="0"/>
          <w:strike w:val="0"/>
          <w:sz w:val="24"/>
          <w:u w:val="single"/>
        </w:rPr>
        <w:t>investigate</w:t>
      </w:r>
      <w:r>
        <w:rPr>
          <w:b w:val="0"/>
          <w:i w:val="0"/>
          <w:smallCaps w:val="0"/>
          <w:strike w:val="0"/>
          <w:sz w:val="22"/>
          <w:u w:val="single"/>
        </w:rPr>
        <w:t xml:space="preserve"> whether goods are being imported</w:t>
      </w:r>
      <w:r>
        <w:rPr>
          <w:b w:val="0"/>
          <w:i w:val="0"/>
          <w:smallCaps w:val="0"/>
          <w:strike w:val="0"/>
          <w:u w:val="none"/>
        </w:rPr>
        <w:t xml:space="preserve"> unfairly and are </w:t>
      </w:r>
      <w:r>
        <w:rPr>
          <w:b w:val="0"/>
          <w:i w:val="0"/>
          <w:smallCaps w:val="0"/>
          <w:strike w:val="0"/>
          <w:sz w:val="22"/>
          <w:u w:val="single"/>
        </w:rPr>
        <w:t xml:space="preserve">affecting a </w:t>
      </w:r>
      <w:r>
        <w:rPr>
          <w:b/>
          <w:i w:val="0"/>
          <w:smallCaps w:val="0"/>
          <w:strike w:val="0"/>
          <w:sz w:val="24"/>
          <w:u w:val="single"/>
        </w:rPr>
        <w:t>domestic</w:t>
      </w:r>
      <w:r>
        <w:rPr>
          <w:b w:val="0"/>
          <w:i w:val="0"/>
          <w:smallCaps w:val="0"/>
          <w:strike w:val="0"/>
          <w:sz w:val="22"/>
          <w:u w:val="single"/>
        </w:rPr>
        <w:t xml:space="preserve"> industry</w:t>
      </w:r>
      <w:r>
        <w:rPr>
          <w:b w:val="0"/>
          <w:i w:val="0"/>
          <w:smallCaps w:val="0"/>
          <w:strike w:val="0"/>
          <w:u w:val="none"/>
        </w:rPr>
        <w:t>.</w:t>
      </w:r>
      <w:r>
        <w:rPr>
          <w:b w:val="0"/>
          <w:i w:val="0"/>
          <w:smallCaps w:val="0"/>
          <w:strike w:val="0"/>
          <w:u w:val="none"/>
        </w:rPr>
        <w:t>[1]</w:t>
      </w:r>
      <w:r>
        <w:rPr>
          <w:b w:val="0"/>
          <w:i w:val="0"/>
          <w:smallCaps w:val="0"/>
          <w:strike w:val="0"/>
          <w:u w:val="none"/>
        </w:rPr>
        <w:t xml:space="preserve"> One type of </w:t>
      </w:r>
      <w:r>
        <w:rPr>
          <w:b w:val="0"/>
          <w:i w:val="0"/>
          <w:smallCaps w:val="0"/>
          <w:strike w:val="0"/>
          <w:sz w:val="22"/>
          <w:u w:val="single"/>
        </w:rPr>
        <w:t>unfair import is a good that infringes U.S. intellectual property rights</w:t>
      </w:r>
      <w:r>
        <w:rPr>
          <w:b w:val="0"/>
          <w:i w:val="0"/>
          <w:smallCaps w:val="0"/>
          <w:strike w:val="0"/>
          <w:u w:val="none"/>
        </w:rPr>
        <w:t>, including patents.</w:t>
      </w:r>
      <w:r>
        <w:rPr>
          <w:b w:val="0"/>
          <w:i w:val="0"/>
          <w:smallCaps w:val="0"/>
          <w:strike w:val="0"/>
          <w:u w:val="none"/>
        </w:rPr>
        <w:t>[2]</w:t>
      </w:r>
      <w:r>
        <w:rPr>
          <w:b w:val="0"/>
          <w:i w:val="0"/>
          <w:smallCaps w:val="0"/>
          <w:strike w:val="0"/>
          <w:u w:val="none"/>
        </w:rPr>
        <w:t xml:space="preserve"> Section 337 can therefore be a </w:t>
      </w:r>
      <w:r>
        <w:rPr>
          <w:b w:val="0"/>
          <w:i w:val="0"/>
          <w:smallCaps w:val="0"/>
          <w:strike w:val="0"/>
          <w:sz w:val="22"/>
          <w:u w:val="single"/>
        </w:rPr>
        <w:t>useful tool for protecting American industry against infringing imports</w:t>
      </w:r>
      <w:r>
        <w:rPr>
          <w:b w:val="0"/>
          <w:i w:val="0"/>
          <w:smallCaps w:val="0"/>
          <w:strike w:val="0"/>
          <w:u w:val="none"/>
        </w:rPr>
        <w:t xml:space="preserve">. But, increasingly, the </w:t>
      </w:r>
      <w:r>
        <w:rPr>
          <w:b/>
          <w:i w:val="0"/>
          <w:smallCaps w:val="0"/>
          <w:strike w:val="0"/>
          <w:sz w:val="24"/>
          <w:highlight w:val="cyan"/>
          <w:u w:val="single"/>
        </w:rPr>
        <w:t>ITC</w:t>
      </w:r>
      <w:r>
        <w:rPr>
          <w:b w:val="0"/>
          <w:i w:val="0"/>
          <w:smallCaps w:val="0"/>
          <w:strike w:val="0"/>
          <w:sz w:val="22"/>
          <w:highlight w:val="cyan"/>
          <w:u w:val="single"/>
        </w:rPr>
        <w:t xml:space="preserve"> has become a means for</w:t>
      </w:r>
      <w:r>
        <w:rPr>
          <w:b w:val="0"/>
          <w:i w:val="0"/>
          <w:smallCaps w:val="0"/>
          <w:strike w:val="0"/>
          <w:sz w:val="22"/>
          <w:u w:val="single"/>
        </w:rPr>
        <w:t xml:space="preserve"> certain non-practicing entities</w:t>
      </w:r>
      <w:r>
        <w:rPr>
          <w:b w:val="0"/>
          <w:i w:val="0"/>
          <w:smallCaps w:val="0"/>
          <w:strike w:val="0"/>
          <w:u w:val="none"/>
        </w:rPr>
        <w:t xml:space="preserve"> (or “</w:t>
      </w:r>
      <w:r>
        <w:rPr>
          <w:b/>
          <w:i w:val="0"/>
          <w:smallCaps w:val="0"/>
          <w:strike w:val="0"/>
          <w:sz w:val="24"/>
          <w:highlight w:val="cyan"/>
          <w:u w:val="single"/>
        </w:rPr>
        <w:t>NPEs</w:t>
      </w:r>
      <w:r>
        <w:rPr>
          <w:b w:val="0"/>
          <w:i w:val="0"/>
          <w:smallCaps w:val="0"/>
          <w:strike w:val="0"/>
          <w:u w:val="none"/>
        </w:rPr>
        <w:t xml:space="preserve">”), often referred to as “patent trolls,” </w:t>
      </w:r>
      <w:r>
        <w:rPr>
          <w:b w:val="0"/>
          <w:i w:val="0"/>
          <w:smallCaps w:val="0"/>
          <w:strike w:val="0"/>
          <w:sz w:val="22"/>
          <w:highlight w:val="cyan"/>
          <w:u w:val="single"/>
        </w:rPr>
        <w:t>to exploit the ITC for financial gain</w:t>
      </w:r>
      <w:r>
        <w:rPr>
          <w:b w:val="0"/>
          <w:i w:val="0"/>
          <w:smallCaps w:val="0"/>
          <w:strike w:val="0"/>
          <w:u w:val="none"/>
        </w:rPr>
        <w:t xml:space="preserve">—and to do so in a </w:t>
      </w:r>
      <w:r>
        <w:rPr>
          <w:b w:val="0"/>
          <w:i w:val="0"/>
          <w:smallCaps w:val="0"/>
          <w:strike w:val="0"/>
          <w:sz w:val="22"/>
          <w:u w:val="single"/>
        </w:rPr>
        <w:t>way that perversely threatens the very domestic</w:t>
      </w:r>
      <w:r>
        <w:rPr>
          <w:b w:val="0"/>
          <w:i w:val="0"/>
          <w:smallCaps w:val="0"/>
          <w:strike w:val="0"/>
          <w:u w:val="none"/>
        </w:rPr>
        <w:t xml:space="preserve"> industry the </w:t>
      </w:r>
      <w:r>
        <w:rPr>
          <w:b w:val="0"/>
          <w:i w:val="0"/>
          <w:smallCaps w:val="0"/>
          <w:strike w:val="0"/>
          <w:sz w:val="22"/>
          <w:u w:val="single"/>
        </w:rPr>
        <w:t>ITC was designed to protect</w:t>
      </w:r>
      <w:r>
        <w:rPr>
          <w:b w:val="0"/>
          <w:i w:val="0"/>
          <w:smallCaps w:val="0"/>
          <w:strike w:val="0"/>
          <w:u w:val="none"/>
        </w:rPr>
        <w:t>.</w:t>
      </w:r>
    </w:p>
    <w:p>
      <w:pPr>
        <w:spacing w:after="60"/>
      </w:pPr>
      <w:r>
        <w:rPr>
          <w:b w:val="0"/>
          <w:i w:val="0"/>
          <w:smallCaps w:val="0"/>
          <w:strike w:val="0"/>
          <w:u w:val="none"/>
        </w:rPr>
        <w:t>Patent Trolls</w:t>
      </w:r>
    </w:p>
    <w:p>
      <w:pPr>
        <w:spacing w:after="60"/>
      </w:pPr>
      <w:r>
        <w:rPr>
          <w:b w:val="0"/>
          <w:i w:val="0"/>
          <w:smallCaps w:val="0"/>
          <w:strike w:val="0"/>
          <w:sz w:val="22"/>
          <w:u w:val="single"/>
        </w:rPr>
        <w:t xml:space="preserve">Patent </w:t>
      </w:r>
      <w:r>
        <w:rPr>
          <w:b/>
          <w:i w:val="0"/>
          <w:smallCaps w:val="0"/>
          <w:strike w:val="0"/>
          <w:sz w:val="24"/>
          <w:highlight w:val="cyan"/>
          <w:u w:val="single"/>
        </w:rPr>
        <w:t>trolls</w:t>
      </w:r>
      <w:r>
        <w:rPr>
          <w:b w:val="0"/>
          <w:i w:val="0"/>
          <w:smallCaps w:val="0"/>
          <w:strike w:val="0"/>
          <w:sz w:val="22"/>
          <w:u w:val="single"/>
        </w:rPr>
        <w:t xml:space="preserve"> have long been notorious for bringing infringement litigation</w:t>
      </w:r>
      <w:r>
        <w:rPr>
          <w:b w:val="0"/>
          <w:i w:val="0"/>
          <w:smallCaps w:val="0"/>
          <w:strike w:val="0"/>
          <w:u w:val="none"/>
        </w:rPr>
        <w:t xml:space="preserve"> against </w:t>
      </w:r>
      <w:r>
        <w:rPr>
          <w:b w:val="0"/>
          <w:i w:val="0"/>
          <w:smallCaps w:val="0"/>
          <w:strike w:val="0"/>
          <w:sz w:val="22"/>
          <w:u w:val="single"/>
        </w:rPr>
        <w:t xml:space="preserve">productive companies with the goal of </w:t>
      </w:r>
      <w:r>
        <w:rPr>
          <w:b w:val="0"/>
          <w:i w:val="0"/>
          <w:smallCaps w:val="0"/>
          <w:strike w:val="0"/>
          <w:sz w:val="22"/>
          <w:highlight w:val="cyan"/>
          <w:u w:val="single"/>
        </w:rPr>
        <w:t>generat</w:t>
      </w:r>
      <w:r>
        <w:rPr>
          <w:b w:val="0"/>
          <w:i w:val="0"/>
          <w:smallCaps w:val="0"/>
          <w:strike w:val="0"/>
          <w:sz w:val="22"/>
          <w:u w:val="single"/>
        </w:rPr>
        <w:t>ing large settlements</w:t>
      </w:r>
      <w:r>
        <w:rPr>
          <w:b w:val="0"/>
          <w:i w:val="0"/>
          <w:smallCaps w:val="0"/>
          <w:strike w:val="0"/>
          <w:u w:val="none"/>
        </w:rPr>
        <w:t xml:space="preserve"> and royalty payments.</w:t>
      </w:r>
      <w:r>
        <w:rPr>
          <w:b w:val="0"/>
          <w:i w:val="0"/>
          <w:smallCaps w:val="0"/>
          <w:strike w:val="0"/>
          <w:u w:val="none"/>
        </w:rPr>
        <w:t>[3]</w:t>
      </w:r>
      <w:r>
        <w:rPr>
          <w:b w:val="0"/>
          <w:i w:val="0"/>
          <w:smallCaps w:val="0"/>
          <w:strike w:val="0"/>
          <w:u w:val="none"/>
        </w:rPr>
        <w:t xml:space="preserve"> Many </w:t>
      </w:r>
      <w:r>
        <w:rPr>
          <w:b w:val="0"/>
          <w:i w:val="0"/>
          <w:smallCaps w:val="0"/>
          <w:strike w:val="0"/>
          <w:sz w:val="22"/>
          <w:u w:val="single"/>
        </w:rPr>
        <w:t xml:space="preserve">commentators have identified </w:t>
      </w:r>
      <w:r>
        <w:rPr>
          <w:b w:val="0"/>
          <w:i w:val="0"/>
          <w:smallCaps w:val="0"/>
          <w:strike w:val="0"/>
          <w:sz w:val="22"/>
          <w:highlight w:val="cyan"/>
          <w:u w:val="single"/>
        </w:rPr>
        <w:t xml:space="preserve">serious harms to </w:t>
      </w:r>
      <w:r>
        <w:rPr>
          <w:b/>
          <w:i w:val="0"/>
          <w:smallCaps w:val="0"/>
          <w:strike w:val="0"/>
          <w:sz w:val="24"/>
          <w:highlight w:val="cyan"/>
          <w:u w:val="single"/>
        </w:rPr>
        <w:t>innovative</w:t>
      </w:r>
      <w:r>
        <w:rPr>
          <w:b w:val="0"/>
          <w:i w:val="0"/>
          <w:smallCaps w:val="0"/>
          <w:strike w:val="0"/>
          <w:sz w:val="22"/>
          <w:highlight w:val="cyan"/>
          <w:u w:val="single"/>
        </w:rPr>
        <w:t xml:space="preserve"> companies</w:t>
      </w:r>
      <w:r>
        <w:rPr>
          <w:b w:val="0"/>
          <w:i w:val="0"/>
          <w:smallCaps w:val="0"/>
          <w:strike w:val="0"/>
          <w:u w:val="none"/>
        </w:rPr>
        <w:t xml:space="preserve"> and the </w:t>
      </w:r>
      <w:r>
        <w:rPr>
          <w:b w:val="0"/>
          <w:i w:val="0"/>
          <w:smallCaps w:val="0"/>
          <w:strike w:val="0"/>
          <w:sz w:val="22"/>
          <w:highlight w:val="cyan"/>
          <w:u w:val="single"/>
        </w:rPr>
        <w:t xml:space="preserve">U.S. economy at large </w:t>
      </w:r>
      <w:r>
        <w:rPr>
          <w:b/>
          <w:i w:val="0"/>
          <w:smallCaps w:val="0"/>
          <w:strike w:val="0"/>
          <w:sz w:val="24"/>
          <w:highlight w:val="cyan"/>
          <w:u w:val="single"/>
        </w:rPr>
        <w:t>associated</w:t>
      </w:r>
      <w:r>
        <w:rPr>
          <w:b w:val="0"/>
          <w:i w:val="0"/>
          <w:smallCaps w:val="0"/>
          <w:strike w:val="0"/>
          <w:sz w:val="22"/>
          <w:highlight w:val="cyan"/>
          <w:u w:val="single"/>
        </w:rPr>
        <w:t xml:space="preserve"> with NPE litigation</w:t>
      </w:r>
      <w:r>
        <w:rPr>
          <w:b w:val="0"/>
          <w:i w:val="0"/>
          <w:smallCaps w:val="0"/>
          <w:strike w:val="0"/>
          <w:u w:val="none"/>
        </w:rPr>
        <w:t xml:space="preserve">, </w:t>
      </w:r>
      <w:r>
        <w:rPr>
          <w:b w:val="0"/>
          <w:i w:val="0"/>
          <w:smallCaps w:val="0"/>
          <w:strike w:val="0"/>
          <w:sz w:val="22"/>
          <w:highlight w:val="cyan"/>
          <w:u w:val="single"/>
        </w:rPr>
        <w:t>including</w:t>
      </w:r>
      <w:r>
        <w:rPr>
          <w:b w:val="0"/>
          <w:i w:val="0"/>
          <w:smallCaps w:val="0"/>
          <w:strike w:val="0"/>
          <w:u w:val="none"/>
        </w:rPr>
        <w:t xml:space="preserve"> </w:t>
      </w:r>
      <w:r>
        <w:rPr>
          <w:b w:val="0"/>
          <w:i w:val="0"/>
          <w:smallCaps w:val="0"/>
          <w:strike w:val="0"/>
          <w:sz w:val="22"/>
          <w:highlight w:val="cyan"/>
          <w:u w:val="single"/>
        </w:rPr>
        <w:t>reduced</w:t>
      </w:r>
      <w:r>
        <w:rPr>
          <w:b w:val="0"/>
          <w:i w:val="0"/>
          <w:smallCaps w:val="0"/>
          <w:strike w:val="0"/>
          <w:sz w:val="22"/>
          <w:u w:val="single"/>
        </w:rPr>
        <w:t xml:space="preserve"> spending on </w:t>
      </w:r>
      <w:r>
        <w:rPr>
          <w:b/>
          <w:i w:val="0"/>
          <w:smallCaps w:val="0"/>
          <w:strike w:val="0"/>
          <w:sz w:val="24"/>
          <w:highlight w:val="cyan"/>
          <w:u w:val="single"/>
        </w:rPr>
        <w:t>r</w:t>
      </w:r>
      <w:r>
        <w:rPr>
          <w:b w:val="0"/>
          <w:i w:val="0"/>
          <w:smallCaps w:val="0"/>
          <w:strike w:val="0"/>
          <w:sz w:val="22"/>
          <w:u w:val="single"/>
        </w:rPr>
        <w:t>esearch a</w:t>
      </w:r>
      <w:r>
        <w:rPr>
          <w:b/>
          <w:i w:val="0"/>
          <w:smallCaps w:val="0"/>
          <w:strike w:val="0"/>
          <w:sz w:val="24"/>
          <w:highlight w:val="cyan"/>
          <w:u w:val="single"/>
        </w:rPr>
        <w:t>n</w:t>
      </w:r>
      <w:r>
        <w:rPr>
          <w:b w:val="0"/>
          <w:i w:val="0"/>
          <w:smallCaps w:val="0"/>
          <w:strike w:val="0"/>
          <w:sz w:val="22"/>
          <w:u w:val="single"/>
        </w:rPr>
        <w:t xml:space="preserve">d </w:t>
      </w:r>
      <w:r>
        <w:rPr>
          <w:b/>
          <w:i w:val="0"/>
          <w:smallCaps w:val="0"/>
          <w:strike w:val="0"/>
          <w:sz w:val="24"/>
          <w:highlight w:val="cyan"/>
          <w:u w:val="single"/>
        </w:rPr>
        <w:t>d</w:t>
      </w:r>
      <w:r>
        <w:rPr>
          <w:b w:val="0"/>
          <w:i w:val="0"/>
          <w:smallCaps w:val="0"/>
          <w:strike w:val="0"/>
          <w:sz w:val="22"/>
          <w:u w:val="single"/>
        </w:rPr>
        <w:t>evelopment</w:t>
      </w:r>
      <w:r>
        <w:rPr>
          <w:b w:val="0"/>
          <w:i w:val="0"/>
          <w:smallCaps w:val="0"/>
          <w:strike w:val="0"/>
          <w:u w:val="none"/>
        </w:rPr>
        <w:t>,</w:t>
      </w:r>
      <w:r>
        <w:rPr>
          <w:b w:val="0"/>
          <w:i w:val="0"/>
          <w:smallCaps w:val="0"/>
          <w:strike w:val="0"/>
          <w:u w:val="none"/>
        </w:rPr>
        <w:t>[4]</w:t>
      </w:r>
      <w:r>
        <w:rPr>
          <w:b w:val="0"/>
          <w:i w:val="0"/>
          <w:smallCaps w:val="0"/>
          <w:strike w:val="0"/>
          <w:u w:val="none"/>
        </w:rPr>
        <w:t xml:space="preserve"> </w:t>
      </w:r>
      <w:r>
        <w:rPr>
          <w:b w:val="0"/>
          <w:i w:val="0"/>
          <w:smallCaps w:val="0"/>
          <w:strike w:val="0"/>
          <w:sz w:val="22"/>
          <w:highlight w:val="cyan"/>
          <w:u w:val="single"/>
        </w:rPr>
        <w:t xml:space="preserve">lower levels of employment </w:t>
      </w:r>
      <w:r>
        <w:rPr>
          <w:b w:val="0"/>
          <w:i w:val="0"/>
          <w:smallCaps w:val="0"/>
          <w:strike w:val="0"/>
          <w:sz w:val="22"/>
          <w:u w:val="single"/>
        </w:rPr>
        <w:t>at high-tech companies</w:t>
      </w:r>
      <w:r>
        <w:rPr>
          <w:b w:val="0"/>
          <w:i w:val="0"/>
          <w:smallCaps w:val="0"/>
          <w:strike w:val="0"/>
          <w:u w:val="none"/>
        </w:rPr>
        <w:t>,</w:t>
      </w:r>
      <w:r>
        <w:rPr>
          <w:b w:val="0"/>
          <w:i w:val="0"/>
          <w:smallCaps w:val="0"/>
          <w:strike w:val="0"/>
          <w:u w:val="none"/>
        </w:rPr>
        <w:t>[5]</w:t>
      </w:r>
      <w:r>
        <w:rPr>
          <w:b w:val="0"/>
          <w:i w:val="0"/>
          <w:smallCaps w:val="0"/>
          <w:strike w:val="0"/>
          <w:u w:val="none"/>
        </w:rPr>
        <w:t xml:space="preserve"> </w:t>
      </w:r>
      <w:r>
        <w:rPr>
          <w:b w:val="0"/>
          <w:i w:val="0"/>
          <w:smallCaps w:val="0"/>
          <w:strike w:val="0"/>
          <w:sz w:val="22"/>
          <w:highlight w:val="cyan"/>
          <w:u w:val="single"/>
        </w:rPr>
        <w:t>and spillover</w:t>
      </w:r>
      <w:r>
        <w:rPr>
          <w:b w:val="0"/>
          <w:i w:val="0"/>
          <w:smallCaps w:val="0"/>
          <w:strike w:val="0"/>
          <w:sz w:val="22"/>
          <w:u w:val="single"/>
        </w:rPr>
        <w:t xml:space="preserve"> harm </w:t>
      </w:r>
      <w:r>
        <w:rPr>
          <w:b w:val="0"/>
          <w:i w:val="0"/>
          <w:smallCaps w:val="0"/>
          <w:strike w:val="0"/>
          <w:sz w:val="22"/>
          <w:highlight w:val="cyan"/>
          <w:u w:val="single"/>
        </w:rPr>
        <w:t>to entire industries</w:t>
      </w:r>
      <w:r>
        <w:rPr>
          <w:b w:val="0"/>
          <w:i w:val="0"/>
          <w:smallCaps w:val="0"/>
          <w:strike w:val="0"/>
          <w:sz w:val="22"/>
          <w:u w:val="single"/>
        </w:rPr>
        <w:t xml:space="preserve"> that produce technology targeted by troll litigation</w:t>
      </w:r>
      <w:r>
        <w:rPr>
          <w:b w:val="0"/>
          <w:i w:val="0"/>
          <w:smallCaps w:val="0"/>
          <w:strike w:val="0"/>
          <w:u w:val="none"/>
        </w:rPr>
        <w:t xml:space="preserve">, even for </w:t>
      </w:r>
      <w:r>
        <w:rPr>
          <w:b w:val="0"/>
          <w:i w:val="0"/>
          <w:smallCaps w:val="0"/>
          <w:strike w:val="0"/>
          <w:sz w:val="22"/>
          <w:u w:val="single"/>
        </w:rPr>
        <w:t>firms not specifically named as defendants</w:t>
      </w:r>
      <w:r>
        <w:rPr>
          <w:b w:val="0"/>
          <w:i w:val="0"/>
          <w:smallCaps w:val="0"/>
          <w:strike w:val="0"/>
          <w:u w:val="none"/>
        </w:rPr>
        <w:t>.</w:t>
      </w:r>
      <w:r>
        <w:rPr>
          <w:b w:val="0"/>
          <w:i w:val="0"/>
          <w:smallCaps w:val="0"/>
          <w:strike w:val="0"/>
          <w:u w:val="none"/>
        </w:rPr>
        <w:t>[</w:t>
      </w:r>
      <w:r>
        <w:rPr>
          <w:b w:val="0"/>
          <w:i w:val="0"/>
          <w:smallCaps w:val="0"/>
          <w:strike w:val="0"/>
          <w:u w:val="none"/>
        </w:rPr>
        <w:t>6]</w:t>
      </w:r>
      <w:r>
        <w:rPr>
          <w:b w:val="0"/>
          <w:i w:val="0"/>
          <w:smallCaps w:val="0"/>
          <w:strike w:val="0"/>
          <w:u w:val="none"/>
        </w:rPr>
        <w:t xml:space="preserve"> Scholarship also has highlighted trolls’ </w:t>
      </w:r>
      <w:r>
        <w:rPr>
          <w:b/>
          <w:i w:val="0"/>
          <w:smallCaps w:val="0"/>
          <w:strike w:val="0"/>
          <w:sz w:val="24"/>
          <w:u w:val="single"/>
        </w:rPr>
        <w:t>abusive</w:t>
      </w:r>
      <w:r>
        <w:rPr>
          <w:b w:val="0"/>
          <w:i w:val="0"/>
          <w:smallCaps w:val="0"/>
          <w:strike w:val="0"/>
          <w:u w:val="none"/>
        </w:rPr>
        <w:t xml:space="preserve"> </w:t>
      </w:r>
      <w:r>
        <w:rPr>
          <w:b w:val="0"/>
          <w:i w:val="0"/>
          <w:smallCaps w:val="0"/>
          <w:strike w:val="0"/>
          <w:sz w:val="22"/>
          <w:u w:val="single"/>
        </w:rPr>
        <w:t>litigation tactics</w:t>
      </w:r>
      <w:r>
        <w:rPr>
          <w:b w:val="0"/>
          <w:i w:val="0"/>
          <w:smallCaps w:val="0"/>
          <w:strike w:val="0"/>
          <w:u w:val="none"/>
        </w:rPr>
        <w:t xml:space="preserve">—noting, for instance, </w:t>
      </w:r>
      <w:r>
        <w:rPr>
          <w:b w:val="0"/>
          <w:i w:val="0"/>
          <w:smallCaps w:val="0"/>
          <w:strike w:val="0"/>
          <w:sz w:val="22"/>
          <w:u w:val="single"/>
        </w:rPr>
        <w:t>that trolls typically assert lower-quality</w:t>
      </w:r>
      <w:r>
        <w:rPr>
          <w:b w:val="0"/>
          <w:i w:val="0"/>
          <w:smallCaps w:val="0"/>
          <w:strike w:val="0"/>
          <w:u w:val="none"/>
        </w:rPr>
        <w:t xml:space="preserve"> patents than other entities in </w:t>
      </w:r>
      <w:r>
        <w:rPr>
          <w:b w:val="0"/>
          <w:i w:val="0"/>
          <w:smallCaps w:val="0"/>
          <w:strike w:val="0"/>
          <w:sz w:val="22"/>
          <w:u w:val="single"/>
        </w:rPr>
        <w:t>infringement litigation and disproportionately target defendants</w:t>
      </w:r>
      <w:r>
        <w:rPr>
          <w:b w:val="0"/>
          <w:i w:val="0"/>
          <w:smallCaps w:val="0"/>
          <w:strike w:val="0"/>
          <w:u w:val="none"/>
        </w:rPr>
        <w:t xml:space="preserve"> with higher cash reserves.</w:t>
      </w:r>
      <w:r>
        <w:rPr>
          <w:b w:val="0"/>
          <w:i w:val="0"/>
          <w:smallCaps w:val="0"/>
          <w:strike w:val="0"/>
          <w:u w:val="none"/>
        </w:rPr>
        <w:t>[7]</w:t>
      </w:r>
    </w:p>
    <w:p>
      <w:pPr>
        <w:spacing w:after="60"/>
      </w:pPr>
      <w:r>
        <w:rPr>
          <w:b w:val="0"/>
          <w:i w:val="0"/>
          <w:smallCaps w:val="0"/>
          <w:strike w:val="0"/>
          <w:u w:val="none"/>
        </w:rPr>
        <w:t>Trolls at the ITC</w:t>
      </w:r>
    </w:p>
    <w:p>
      <w:pPr>
        <w:spacing w:after="60"/>
      </w:pPr>
      <w:r>
        <w:rPr>
          <w:b w:val="0"/>
          <w:i w:val="0"/>
          <w:smallCaps w:val="0"/>
          <w:strike w:val="0"/>
          <w:u w:val="none"/>
        </w:rPr>
        <w:t xml:space="preserve">Most </w:t>
      </w:r>
      <w:r>
        <w:rPr>
          <w:b w:val="0"/>
          <w:i w:val="0"/>
          <w:smallCaps w:val="0"/>
          <w:strike w:val="0"/>
          <w:sz w:val="22"/>
          <w:u w:val="single"/>
        </w:rPr>
        <w:t xml:space="preserve">scrutiny of patent trolls </w:t>
      </w:r>
      <w:r>
        <w:rPr>
          <w:b w:val="0"/>
          <w:i w:val="0"/>
          <w:smallCaps w:val="0"/>
          <w:strike w:val="0"/>
          <w:u w:val="none"/>
        </w:rPr>
        <w:t xml:space="preserve">has </w:t>
      </w:r>
      <w:r>
        <w:rPr>
          <w:b w:val="0"/>
          <w:i w:val="0"/>
          <w:smallCaps w:val="0"/>
          <w:strike w:val="0"/>
          <w:sz w:val="22"/>
          <w:u w:val="single"/>
        </w:rPr>
        <w:t>focused on their district court litigation</w:t>
      </w:r>
      <w:r>
        <w:rPr>
          <w:b w:val="0"/>
          <w:i w:val="0"/>
          <w:smallCaps w:val="0"/>
          <w:strike w:val="0"/>
          <w:u w:val="none"/>
        </w:rPr>
        <w:t xml:space="preserve">. But increasingly, the </w:t>
      </w:r>
      <w:r>
        <w:rPr>
          <w:b w:val="0"/>
          <w:i w:val="0"/>
          <w:smallCaps w:val="0"/>
          <w:strike w:val="0"/>
          <w:sz w:val="22"/>
          <w:highlight w:val="cyan"/>
          <w:u w:val="single"/>
        </w:rPr>
        <w:t xml:space="preserve">ITC has become the most </w:t>
      </w:r>
      <w:r>
        <w:rPr>
          <w:b/>
          <w:i w:val="0"/>
          <w:smallCaps w:val="0"/>
          <w:strike w:val="0"/>
          <w:sz w:val="24"/>
          <w:highlight w:val="cyan"/>
          <w:u w:val="single"/>
        </w:rPr>
        <w:t>menacing</w:t>
      </w:r>
      <w:r>
        <w:rPr>
          <w:b w:val="0"/>
          <w:i w:val="0"/>
          <w:smallCaps w:val="0"/>
          <w:strike w:val="0"/>
          <w:sz w:val="22"/>
          <w:highlight w:val="cyan"/>
          <w:u w:val="single"/>
        </w:rPr>
        <w:t xml:space="preserve"> weapon</w:t>
      </w:r>
      <w:r>
        <w:rPr>
          <w:b w:val="0"/>
          <w:i w:val="0"/>
          <w:smallCaps w:val="0"/>
          <w:strike w:val="0"/>
          <w:u w:val="none"/>
        </w:rPr>
        <w:t xml:space="preserve"> in their arsenals. According to </w:t>
      </w:r>
      <w:r>
        <w:rPr>
          <w:b w:val="0"/>
          <w:i w:val="0"/>
          <w:smallCaps w:val="0"/>
          <w:strike w:val="0"/>
          <w:sz w:val="22"/>
          <w:u w:val="single"/>
        </w:rPr>
        <w:t>the ITC’s own data</w:t>
      </w:r>
      <w:r>
        <w:rPr>
          <w:b w:val="0"/>
          <w:i w:val="0"/>
          <w:smallCaps w:val="0"/>
          <w:strike w:val="0"/>
          <w:u w:val="none"/>
        </w:rPr>
        <w:t xml:space="preserve"> (which is known to undercount troll cases</w:t>
      </w:r>
      <w:r>
        <w:rPr>
          <w:b w:val="0"/>
          <w:i w:val="0"/>
          <w:smallCaps w:val="0"/>
          <w:strike w:val="0"/>
          <w:u w:val="none"/>
        </w:rPr>
        <w:t>[8]</w:t>
      </w:r>
      <w:r>
        <w:rPr>
          <w:b w:val="0"/>
          <w:i w:val="0"/>
          <w:smallCaps w:val="0"/>
          <w:strike w:val="0"/>
          <w:u w:val="none"/>
        </w:rPr>
        <w:t xml:space="preserve">), </w:t>
      </w:r>
      <w:r>
        <w:rPr>
          <w:b w:val="0"/>
          <w:i w:val="0"/>
          <w:smallCaps w:val="0"/>
          <w:strike w:val="0"/>
          <w:sz w:val="22"/>
          <w:u w:val="single"/>
        </w:rPr>
        <w:t>there has been a recent and pronounced</w:t>
      </w:r>
      <w:r>
        <w:rPr>
          <w:b w:val="0"/>
          <w:i w:val="0"/>
          <w:smallCaps w:val="0"/>
          <w:strike w:val="0"/>
          <w:u w:val="none"/>
        </w:rPr>
        <w:t xml:space="preserve"> increase in the number of </w:t>
      </w:r>
      <w:r>
        <w:rPr>
          <w:b w:val="0"/>
          <w:i w:val="0"/>
          <w:smallCaps w:val="0"/>
          <w:strike w:val="0"/>
          <w:sz w:val="22"/>
          <w:highlight w:val="cyan"/>
          <w:u w:val="single"/>
        </w:rPr>
        <w:t xml:space="preserve">cases filed by patent </w:t>
      </w:r>
      <w:r>
        <w:rPr>
          <w:b/>
          <w:i w:val="0"/>
          <w:smallCaps w:val="0"/>
          <w:strike w:val="0"/>
          <w:sz w:val="24"/>
          <w:highlight w:val="cyan"/>
          <w:u w:val="single"/>
        </w:rPr>
        <w:t>trolls</w:t>
      </w:r>
      <w:r>
        <w:rPr>
          <w:b w:val="0"/>
          <w:i w:val="0"/>
          <w:smallCaps w:val="0"/>
          <w:strike w:val="0"/>
          <w:u w:val="none"/>
        </w:rPr>
        <w:t xml:space="preserve">, with troll cases under Section 337 </w:t>
      </w:r>
      <w:r>
        <w:rPr>
          <w:b w:val="0"/>
          <w:i w:val="0"/>
          <w:smallCaps w:val="0"/>
          <w:strike w:val="0"/>
          <w:sz w:val="22"/>
          <w:highlight w:val="cyan"/>
          <w:u w:val="single"/>
        </w:rPr>
        <w:t>more than doubling</w:t>
      </w:r>
      <w:r>
        <w:rPr>
          <w:b w:val="0"/>
          <w:i w:val="0"/>
          <w:smallCaps w:val="0"/>
          <w:strike w:val="0"/>
          <w:sz w:val="22"/>
          <w:u w:val="single"/>
        </w:rPr>
        <w:t xml:space="preserve"> from 2020 to 2021</w:t>
      </w:r>
      <w:r>
        <w:rPr>
          <w:b w:val="0"/>
          <w:i w:val="0"/>
          <w:smallCaps w:val="0"/>
          <w:strike w:val="0"/>
          <w:u w:val="none"/>
        </w:rPr>
        <w:t xml:space="preserve"> to comprise over 13% of the ITC’s 2021 docket.</w:t>
      </w:r>
      <w:r>
        <w:rPr>
          <w:b w:val="0"/>
          <w:i w:val="0"/>
          <w:smallCaps w:val="0"/>
          <w:strike w:val="0"/>
          <w:u w:val="none"/>
        </w:rPr>
        <w:t>[9]</w:t>
      </w:r>
    </w:p>
    <w:p>
      <w:pPr>
        <w:spacing w:after="60"/>
      </w:pPr>
      <w:r>
        <w:rPr>
          <w:b w:val="0"/>
          <w:i w:val="0"/>
          <w:smallCaps w:val="0"/>
          <w:strike w:val="0"/>
          <w:u w:val="none"/>
        </w:rPr>
        <w:t xml:space="preserve">The ITC </w:t>
      </w:r>
      <w:r>
        <w:rPr>
          <w:b w:val="0"/>
          <w:i w:val="0"/>
          <w:smallCaps w:val="0"/>
          <w:strike w:val="0"/>
          <w:sz w:val="22"/>
          <w:u w:val="single"/>
        </w:rPr>
        <w:t>attracts trolls for several reasons</w:t>
      </w:r>
      <w:r>
        <w:rPr>
          <w:b w:val="0"/>
          <w:i w:val="0"/>
          <w:smallCaps w:val="0"/>
          <w:strike w:val="0"/>
          <w:u w:val="none"/>
        </w:rPr>
        <w:t xml:space="preserve">. For one thing, the </w:t>
      </w:r>
      <w:r>
        <w:rPr>
          <w:b/>
          <w:i w:val="0"/>
          <w:smallCaps w:val="0"/>
          <w:strike w:val="0"/>
          <w:sz w:val="24"/>
          <w:highlight w:val="cyan"/>
          <w:u w:val="single"/>
        </w:rPr>
        <w:t>ITC</w:t>
      </w:r>
      <w:r>
        <w:rPr>
          <w:b w:val="0"/>
          <w:i w:val="0"/>
          <w:smallCaps w:val="0"/>
          <w:strike w:val="0"/>
          <w:u w:val="none"/>
        </w:rPr>
        <w:t xml:space="preserve"> </w:t>
      </w:r>
      <w:r>
        <w:rPr>
          <w:b w:val="0"/>
          <w:i w:val="0"/>
          <w:smallCaps w:val="0"/>
          <w:strike w:val="0"/>
          <w:sz w:val="22"/>
          <w:u w:val="single"/>
        </w:rPr>
        <w:t>adjudicates infringement cases more quickly</w:t>
      </w:r>
      <w:r>
        <w:rPr>
          <w:b w:val="0"/>
          <w:i w:val="0"/>
          <w:smallCaps w:val="0"/>
          <w:strike w:val="0"/>
          <w:u w:val="none"/>
        </w:rPr>
        <w:t xml:space="preserve"> than federal district courts, which </w:t>
      </w:r>
      <w:r>
        <w:rPr>
          <w:b w:val="0"/>
          <w:i w:val="0"/>
          <w:smallCaps w:val="0"/>
          <w:strike w:val="0"/>
          <w:sz w:val="22"/>
          <w:highlight w:val="cyan"/>
          <w:u w:val="single"/>
        </w:rPr>
        <w:t xml:space="preserve">puts increased pressure on </w:t>
      </w:r>
      <w:r>
        <w:rPr>
          <w:b/>
          <w:i w:val="0"/>
          <w:smallCaps w:val="0"/>
          <w:strike w:val="0"/>
          <w:sz w:val="24"/>
          <w:highlight w:val="cyan"/>
          <w:u w:val="single"/>
        </w:rPr>
        <w:t>responding</w:t>
      </w:r>
      <w:r>
        <w:rPr>
          <w:b w:val="0"/>
          <w:i w:val="0"/>
          <w:smallCaps w:val="0"/>
          <w:strike w:val="0"/>
          <w:sz w:val="22"/>
          <w:highlight w:val="cyan"/>
          <w:u w:val="single"/>
        </w:rPr>
        <w:t xml:space="preserve"> parties</w:t>
      </w:r>
      <w:r>
        <w:rPr>
          <w:b w:val="0"/>
          <w:i w:val="0"/>
          <w:smallCaps w:val="0"/>
          <w:strike w:val="0"/>
          <w:u w:val="none"/>
        </w:rPr>
        <w:t>.</w:t>
      </w:r>
      <w:r>
        <w:rPr>
          <w:b w:val="0"/>
          <w:i w:val="0"/>
          <w:smallCaps w:val="0"/>
          <w:strike w:val="0"/>
          <w:u w:val="none"/>
        </w:rPr>
        <w:t>[10]</w:t>
      </w:r>
      <w:r>
        <w:rPr>
          <w:b w:val="0"/>
          <w:i w:val="0"/>
          <w:smallCaps w:val="0"/>
          <w:strike w:val="0"/>
          <w:u w:val="none"/>
        </w:rPr>
        <w:t xml:space="preserve"> But perhaps most attractive is the </w:t>
      </w:r>
      <w:r>
        <w:rPr>
          <w:b w:val="0"/>
          <w:i w:val="0"/>
          <w:smallCaps w:val="0"/>
          <w:strike w:val="0"/>
          <w:sz w:val="22"/>
          <w:u w:val="single"/>
        </w:rPr>
        <w:t>sweeping scope of remedies available under Section 337</w:t>
      </w:r>
      <w:r>
        <w:rPr>
          <w:b w:val="0"/>
          <w:i w:val="0"/>
          <w:smallCaps w:val="0"/>
          <w:strike w:val="0"/>
          <w:u w:val="none"/>
        </w:rPr>
        <w:t xml:space="preserve">. If the </w:t>
      </w:r>
      <w:r>
        <w:rPr>
          <w:b w:val="0"/>
          <w:i w:val="0"/>
          <w:smallCaps w:val="0"/>
          <w:strike w:val="0"/>
          <w:sz w:val="22"/>
          <w:highlight w:val="cyan"/>
          <w:u w:val="single"/>
        </w:rPr>
        <w:t>ITC</w:t>
      </w:r>
      <w:r>
        <w:rPr>
          <w:b w:val="0"/>
          <w:i w:val="0"/>
          <w:smallCaps w:val="0"/>
          <w:strike w:val="0"/>
          <w:u w:val="none"/>
        </w:rPr>
        <w:t xml:space="preserve"> finds </w:t>
      </w:r>
      <w:r>
        <w:rPr>
          <w:b w:val="0"/>
          <w:i w:val="0"/>
          <w:smallCaps w:val="0"/>
          <w:strike w:val="0"/>
          <w:sz w:val="22"/>
          <w:u w:val="single"/>
        </w:rPr>
        <w:t>infringement of a valid patent</w:t>
      </w:r>
      <w:r>
        <w:rPr>
          <w:b w:val="0"/>
          <w:i w:val="0"/>
          <w:smallCaps w:val="0"/>
          <w:strike w:val="0"/>
          <w:u w:val="none"/>
        </w:rPr>
        <w:t xml:space="preserve">, it </w:t>
      </w:r>
      <w:r>
        <w:rPr>
          <w:b w:val="0"/>
          <w:i w:val="0"/>
          <w:smallCaps w:val="0"/>
          <w:strike w:val="0"/>
          <w:sz w:val="22"/>
          <w:highlight w:val="cyan"/>
          <w:u w:val="single"/>
        </w:rPr>
        <w:t>has the power to issue an exclusion order blocking all of the respondents’</w:t>
      </w:r>
      <w:r>
        <w:rPr>
          <w:b w:val="0"/>
          <w:i w:val="0"/>
          <w:smallCaps w:val="0"/>
          <w:strike w:val="0"/>
          <w:u w:val="none"/>
        </w:rPr>
        <w:t xml:space="preserve"> infringing </w:t>
      </w:r>
      <w:r>
        <w:rPr>
          <w:b/>
          <w:i w:val="0"/>
          <w:smallCaps w:val="0"/>
          <w:strike w:val="0"/>
          <w:sz w:val="24"/>
          <w:highlight w:val="cyan"/>
          <w:u w:val="single"/>
        </w:rPr>
        <w:t>products</w:t>
      </w:r>
      <w:r>
        <w:rPr>
          <w:b w:val="0"/>
          <w:i w:val="0"/>
          <w:smallCaps w:val="0"/>
          <w:strike w:val="0"/>
          <w:u w:val="none"/>
        </w:rPr>
        <w:t xml:space="preserve"> (and under certain circumstances even products not manufactured by the named respondents) </w:t>
      </w:r>
      <w:r>
        <w:rPr>
          <w:b w:val="0"/>
          <w:i w:val="0"/>
          <w:smallCaps w:val="0"/>
          <w:strike w:val="0"/>
          <w:sz w:val="22"/>
          <w:highlight w:val="cyan"/>
          <w:u w:val="single"/>
        </w:rPr>
        <w:t>from the U.S.</w:t>
      </w:r>
      <w:r>
        <w:rPr>
          <w:b w:val="0"/>
          <w:i w:val="0"/>
          <w:smallCaps w:val="0"/>
          <w:strike w:val="0"/>
          <w:u w:val="none"/>
        </w:rPr>
        <w:t xml:space="preserve"> market.</w:t>
      </w:r>
      <w:r>
        <w:rPr>
          <w:b w:val="0"/>
          <w:i w:val="0"/>
          <w:smallCaps w:val="0"/>
          <w:strike w:val="0"/>
          <w:u w:val="none"/>
        </w:rPr>
        <w:t>[11]</w:t>
      </w:r>
      <w:r>
        <w:rPr>
          <w:b w:val="0"/>
          <w:i w:val="0"/>
          <w:smallCaps w:val="0"/>
          <w:strike w:val="0"/>
          <w:u w:val="none"/>
        </w:rPr>
        <w:t xml:space="preserve"> Unlike courts, which are restricted by the Supreme Court’s 2006 decision in eBay Inc. v. MercExchange, LLC, the </w:t>
      </w:r>
      <w:r>
        <w:rPr>
          <w:b w:val="0"/>
          <w:i w:val="0"/>
          <w:smallCaps w:val="0"/>
          <w:strike w:val="0"/>
          <w:sz w:val="22"/>
          <w:u w:val="single"/>
        </w:rPr>
        <w:t>ITC does not need to find that the complaining party</w:t>
      </w:r>
      <w:r>
        <w:rPr>
          <w:b w:val="0"/>
          <w:i w:val="0"/>
          <w:smallCaps w:val="0"/>
          <w:strike w:val="0"/>
          <w:u w:val="none"/>
        </w:rPr>
        <w:t xml:space="preserve"> will be irreparably harmed before ordering exclusion.</w:t>
      </w:r>
      <w:r>
        <w:rPr>
          <w:b w:val="0"/>
          <w:i w:val="0"/>
          <w:smallCaps w:val="0"/>
          <w:strike w:val="0"/>
          <w:u w:val="none"/>
        </w:rPr>
        <w:t>[12]</w:t>
      </w:r>
      <w:r>
        <w:rPr>
          <w:b w:val="0"/>
          <w:i w:val="0"/>
          <w:smallCaps w:val="0"/>
          <w:strike w:val="0"/>
          <w:u w:val="none"/>
        </w:rPr>
        <w:t xml:space="preserve"> Rather, </w:t>
      </w:r>
      <w:r>
        <w:rPr>
          <w:b w:val="0"/>
          <w:i w:val="0"/>
          <w:smallCaps w:val="0"/>
          <w:strike w:val="0"/>
          <w:sz w:val="22"/>
          <w:highlight w:val="cyan"/>
          <w:u w:val="single"/>
        </w:rPr>
        <w:t xml:space="preserve">injunctive relief at the ITC is </w:t>
      </w:r>
      <w:r>
        <w:rPr>
          <w:b/>
          <w:i w:val="0"/>
          <w:smallCaps w:val="0"/>
          <w:strike w:val="0"/>
          <w:sz w:val="24"/>
          <w:highlight w:val="cyan"/>
          <w:u w:val="single"/>
        </w:rPr>
        <w:t>essentially automatic</w:t>
      </w:r>
      <w:r>
        <w:rPr>
          <w:b w:val="0"/>
          <w:i w:val="0"/>
          <w:smallCaps w:val="0"/>
          <w:strike w:val="0"/>
          <w:u w:val="none"/>
        </w:rPr>
        <w:t>.</w:t>
      </w:r>
      <w:r>
        <w:rPr>
          <w:b w:val="0"/>
          <w:i w:val="0"/>
          <w:smallCaps w:val="0"/>
          <w:strike w:val="0"/>
          <w:u w:val="none"/>
        </w:rPr>
        <w:t>[13]</w:t>
      </w:r>
    </w:p>
    <w:p>
      <w:pPr>
        <w:spacing w:after="60"/>
      </w:pPr>
      <w:r>
        <w:rPr>
          <w:b w:val="0"/>
          <w:i w:val="0"/>
          <w:smallCaps w:val="0"/>
          <w:strike w:val="0"/>
          <w:u w:val="none"/>
        </w:rPr>
        <w:t>The ITC’s Purpose Is to Protect Domestic Industry from Foreign Infringers</w:t>
      </w:r>
    </w:p>
    <w:p>
      <w:pPr>
        <w:spacing w:after="60"/>
      </w:pPr>
      <w:r>
        <w:rPr>
          <w:b w:val="0"/>
          <w:i w:val="0"/>
          <w:smallCaps w:val="0"/>
          <w:strike w:val="0"/>
          <w:u w:val="none"/>
        </w:rPr>
        <w:t>While trolls in recent years have flocked to the ITC, the Commission was actually established to fill a very different need. Congress created the ITC to protect U.S. industries from foreign competitors in situations where U.S. courts either would lack jurisdiction or would have difficulty issuing effective relief.</w:t>
      </w:r>
      <w:r>
        <w:rPr>
          <w:b w:val="0"/>
          <w:i w:val="0"/>
          <w:smallCaps w:val="0"/>
          <w:strike w:val="0"/>
          <w:u w:val="none"/>
        </w:rPr>
        <w:t>[14]</w:t>
      </w:r>
      <w:r>
        <w:rPr>
          <w:b w:val="0"/>
          <w:i w:val="0"/>
          <w:smallCaps w:val="0"/>
          <w:strike w:val="0"/>
          <w:u w:val="none"/>
        </w:rPr>
        <w:t xml:space="preserve"> One of the ITC’s distinguishing features is that it exercises jurisdiction over infringing goods, and thus does not need to exercise jurisdiction over the infringing parties—a feature designed to address the potential lack of personal jurisdiction over foreign exporters.</w:t>
      </w:r>
      <w:r>
        <w:rPr>
          <w:b w:val="0"/>
          <w:i w:val="0"/>
          <w:smallCaps w:val="0"/>
          <w:strike w:val="0"/>
          <w:u w:val="none"/>
        </w:rPr>
        <w:t>[15]</w:t>
      </w:r>
      <w:r>
        <w:rPr>
          <w:b w:val="0"/>
          <w:i w:val="0"/>
          <w:smallCaps w:val="0"/>
          <w:strike w:val="0"/>
          <w:u w:val="none"/>
        </w:rPr>
        <w:t xml:space="preserve"> When a court would lack jurisdiction, the </w:t>
      </w:r>
      <w:r>
        <w:rPr>
          <w:b w:val="0"/>
          <w:i w:val="0"/>
          <w:smallCaps w:val="0"/>
          <w:strike w:val="0"/>
          <w:u w:val="none"/>
        </w:rPr>
        <w:t>ITC’s jurisdiction over the goods themselves and its remedy of exclusion serve a genuine purpose</w:t>
      </w:r>
      <w:r>
        <w:rPr>
          <w:b w:val="0"/>
          <w:i w:val="0"/>
          <w:smallCaps w:val="0"/>
          <w:strike w:val="0"/>
          <w:u w:val="none"/>
        </w:rPr>
        <w:t xml:space="preserve"> of stopping unfair trade that otherwise could go unchecked.</w:t>
      </w:r>
    </w:p>
    <w:p>
      <w:pPr>
        <w:spacing w:after="60"/>
      </w:pPr>
      <w:r>
        <w:rPr>
          <w:b w:val="0"/>
          <w:i w:val="0"/>
          <w:smallCaps w:val="0"/>
          <w:strike w:val="0"/>
          <w:u w:val="none"/>
        </w:rPr>
        <w:t>By contrast, when the alleged infringement is by a company based in the United States, there is no need for an exclusion order. Any infringement can be redressed through domestic litigation filed in federal district court with jurisdiction over the alleged infringer. If the court finds infringement, it can award damages and—if the requirements of eBay are met—can issue an injunction to prevent ongoing or impending infringement actively harming the patent owner.</w:t>
      </w:r>
    </w:p>
    <w:p>
      <w:pPr>
        <w:spacing w:after="60"/>
      </w:pPr>
      <w:r>
        <w:rPr>
          <w:b w:val="0"/>
          <w:i w:val="0"/>
          <w:smallCaps w:val="0"/>
          <w:strike w:val="0"/>
          <w:u w:val="none"/>
        </w:rPr>
        <w:t xml:space="preserve">Nevertheless, a </w:t>
      </w:r>
      <w:r>
        <w:rPr>
          <w:b w:val="0"/>
          <w:i w:val="0"/>
          <w:smallCaps w:val="0"/>
          <w:strike w:val="0"/>
          <w:sz w:val="22"/>
          <w:u w:val="single"/>
        </w:rPr>
        <w:t xml:space="preserve">Majority of ITC </w:t>
      </w:r>
      <w:r>
        <w:rPr>
          <w:b/>
          <w:i w:val="0"/>
          <w:smallCaps w:val="0"/>
          <w:strike w:val="0"/>
          <w:sz w:val="24"/>
          <w:u w:val="single"/>
        </w:rPr>
        <w:t>Respondents</w:t>
      </w:r>
      <w:r>
        <w:rPr>
          <w:b w:val="0"/>
          <w:i w:val="0"/>
          <w:smallCaps w:val="0"/>
          <w:strike w:val="0"/>
          <w:sz w:val="22"/>
          <w:u w:val="single"/>
        </w:rPr>
        <w:t xml:space="preserve"> Are U.S.-Based</w:t>
      </w:r>
    </w:p>
    <w:p>
      <w:pPr>
        <w:spacing w:after="60"/>
      </w:pPr>
      <w:r>
        <w:rPr>
          <w:b w:val="0"/>
          <w:i w:val="0"/>
          <w:smallCaps w:val="0"/>
          <w:strike w:val="0"/>
          <w:u w:val="none"/>
        </w:rPr>
        <w:t xml:space="preserve">A review of the recent ITC docket reveals that the </w:t>
      </w:r>
      <w:r>
        <w:rPr>
          <w:b w:val="0"/>
          <w:i w:val="0"/>
          <w:smallCaps w:val="0"/>
          <w:strike w:val="0"/>
          <w:sz w:val="22"/>
          <w:highlight w:val="cyan"/>
          <w:u w:val="single"/>
        </w:rPr>
        <w:t>ITC is not being used for</w:t>
      </w:r>
      <w:r>
        <w:rPr>
          <w:b w:val="0"/>
          <w:i w:val="0"/>
          <w:smallCaps w:val="0"/>
          <w:strike w:val="0"/>
          <w:u w:val="none"/>
        </w:rPr>
        <w:t xml:space="preserve"> its </w:t>
      </w:r>
      <w:r>
        <w:rPr>
          <w:b/>
          <w:i w:val="0"/>
          <w:smallCaps w:val="0"/>
          <w:strike w:val="0"/>
          <w:sz w:val="24"/>
          <w:highlight w:val="cyan"/>
          <w:u w:val="single"/>
        </w:rPr>
        <w:t>intended</w:t>
      </w:r>
      <w:r>
        <w:rPr>
          <w:b w:val="0"/>
          <w:i w:val="0"/>
          <w:smallCaps w:val="0"/>
          <w:strike w:val="0"/>
          <w:sz w:val="22"/>
          <w:highlight w:val="cyan"/>
          <w:u w:val="single"/>
        </w:rPr>
        <w:t xml:space="preserve"> purpose</w:t>
      </w:r>
      <w:r>
        <w:rPr>
          <w:b w:val="0"/>
          <w:i w:val="0"/>
          <w:smallCaps w:val="0"/>
          <w:strike w:val="0"/>
          <w:u w:val="none"/>
        </w:rPr>
        <w:t xml:space="preserve">. To the contrary, this </w:t>
      </w:r>
      <w:r>
        <w:rPr>
          <w:b w:val="0"/>
          <w:i w:val="0"/>
          <w:smallCaps w:val="0"/>
          <w:strike w:val="0"/>
          <w:sz w:val="22"/>
          <w:u w:val="single"/>
        </w:rPr>
        <w:t xml:space="preserve">analysis found that a </w:t>
      </w:r>
      <w:r>
        <w:rPr>
          <w:b w:val="0"/>
          <w:i w:val="0"/>
          <w:smallCaps w:val="0"/>
          <w:strike w:val="0"/>
          <w:sz w:val="22"/>
          <w:highlight w:val="cyan"/>
          <w:u w:val="single"/>
        </w:rPr>
        <w:t>majority of companies sued at the ITC</w:t>
      </w:r>
      <w:r>
        <w:rPr>
          <w:b w:val="0"/>
          <w:i w:val="0"/>
          <w:smallCaps w:val="0"/>
          <w:strike w:val="0"/>
          <w:u w:val="none"/>
        </w:rPr>
        <w:t xml:space="preserve"> in recent </w:t>
      </w:r>
      <w:r>
        <w:rPr>
          <w:b w:val="0"/>
          <w:i w:val="0"/>
          <w:smallCaps w:val="0"/>
          <w:strike w:val="0"/>
          <w:sz w:val="22"/>
          <w:u w:val="single"/>
        </w:rPr>
        <w:t>years have been</w:t>
      </w:r>
      <w:r>
        <w:rPr>
          <w:b w:val="0"/>
          <w:i w:val="0"/>
          <w:smallCaps w:val="0"/>
          <w:strike w:val="0"/>
          <w:u w:val="none"/>
        </w:rPr>
        <w:t xml:space="preserve"> </w:t>
      </w:r>
      <w:r>
        <w:rPr>
          <w:b w:val="0"/>
          <w:i w:val="0"/>
          <w:smallCaps w:val="0"/>
          <w:strike w:val="0"/>
          <w:sz w:val="22"/>
          <w:highlight w:val="cyan"/>
          <w:u w:val="single"/>
        </w:rPr>
        <w:t xml:space="preserve">based in the </w:t>
      </w:r>
      <w:r>
        <w:rPr>
          <w:b/>
          <w:i w:val="0"/>
          <w:smallCaps w:val="0"/>
          <w:strike w:val="0"/>
          <w:sz w:val="24"/>
          <w:highlight w:val="cyan"/>
          <w:u w:val="single"/>
        </w:rPr>
        <w:t>U</w:t>
      </w:r>
      <w:r>
        <w:rPr>
          <w:b w:val="0"/>
          <w:i w:val="0"/>
          <w:smallCaps w:val="0"/>
          <w:strike w:val="0"/>
          <w:u w:val="none"/>
        </w:rPr>
        <w:t xml:space="preserve">nited </w:t>
      </w:r>
      <w:r>
        <w:rPr>
          <w:b/>
          <w:i w:val="0"/>
          <w:smallCaps w:val="0"/>
          <w:strike w:val="0"/>
          <w:sz w:val="24"/>
          <w:highlight w:val="cyan"/>
          <w:u w:val="single"/>
        </w:rPr>
        <w:t>S</w:t>
      </w:r>
      <w:r>
        <w:rPr>
          <w:b w:val="0"/>
          <w:i w:val="0"/>
          <w:smallCaps w:val="0"/>
          <w:strike w:val="0"/>
          <w:u w:val="none"/>
        </w:rPr>
        <w:t xml:space="preserve">tates. And </w:t>
      </w:r>
      <w:r>
        <w:rPr>
          <w:b w:val="0"/>
          <w:i w:val="0"/>
          <w:smallCaps w:val="0"/>
          <w:strike w:val="0"/>
          <w:sz w:val="22"/>
          <w:highlight w:val="cyan"/>
          <w:u w:val="single"/>
        </w:rPr>
        <w:t>trolls</w:t>
      </w:r>
      <w:r>
        <w:rPr>
          <w:b w:val="0"/>
          <w:i w:val="0"/>
          <w:smallCaps w:val="0"/>
          <w:strike w:val="0"/>
          <w:u w:val="none"/>
        </w:rPr>
        <w:t xml:space="preserve">, in particular, are </w:t>
      </w:r>
      <w:r>
        <w:rPr>
          <w:b w:val="0"/>
          <w:i w:val="0"/>
          <w:smallCaps w:val="0"/>
          <w:strike w:val="0"/>
          <w:sz w:val="22"/>
          <w:u w:val="single"/>
        </w:rPr>
        <w:t>significantly more</w:t>
      </w:r>
      <w:r>
        <w:rPr>
          <w:b w:val="0"/>
          <w:i w:val="0"/>
          <w:smallCaps w:val="0"/>
          <w:strike w:val="0"/>
          <w:u w:val="none"/>
        </w:rPr>
        <w:t xml:space="preserve"> likely to </w:t>
      </w:r>
      <w:r>
        <w:rPr>
          <w:b w:val="0"/>
          <w:i w:val="0"/>
          <w:smallCaps w:val="0"/>
          <w:strike w:val="0"/>
          <w:sz w:val="22"/>
          <w:highlight w:val="cyan"/>
          <w:u w:val="single"/>
        </w:rPr>
        <w:t>target U.S.-based respondents</w:t>
      </w:r>
      <w:r>
        <w:rPr>
          <w:b w:val="0"/>
          <w:i w:val="0"/>
          <w:smallCaps w:val="0"/>
          <w:strike w:val="0"/>
          <w:u w:val="none"/>
        </w:rPr>
        <w:t>.</w:t>
      </w:r>
    </w:p>
    <w:p>
      <w:pPr>
        <w:spacing w:after="60"/>
      </w:pPr>
      <w:r>
        <w:rPr>
          <w:b w:val="0"/>
          <w:i w:val="0"/>
          <w:smallCaps w:val="0"/>
          <w:strike w:val="0"/>
          <w:u w:val="none"/>
        </w:rPr>
        <w:t>The analysis used the docket search tool DocketNavigator to review all Section 337 cases filed in Fiscal Years 2018, 2019, 2020, and 2021 (i.e., between October 1, 2018 and September 30, 2021). This analysis considered an ITC complainant to be a “patent troll” if its complaint identified no actual use of the patent—for example, to manufacture goods—and instead relied solely on its licensing of the patent to another entity. But, consistent with other analyses of NPE litigation, the author excluded from the definition of a patent troll entities like universities, individual inventors, and startup companies, which do not manufacture goods but are in the business of securing patents for their own innovations (rather than acquiring the patents of others).</w:t>
      </w:r>
      <w:r>
        <w:rPr>
          <w:b w:val="0"/>
          <w:i w:val="0"/>
          <w:smallCaps w:val="0"/>
          <w:strike w:val="0"/>
          <w:u w:val="none"/>
        </w:rPr>
        <w:t>[16]</w:t>
      </w:r>
      <w:r>
        <w:rPr>
          <w:b w:val="0"/>
          <w:i w:val="0"/>
          <w:smallCaps w:val="0"/>
          <w:strike w:val="0"/>
          <w:u w:val="none"/>
        </w:rPr>
        <w:t xml:space="preserve"> To evaluate whether a particular ITC respondent was based in the United States, the analysis used the address listed in the ITC complaint.</w:t>
      </w:r>
    </w:p>
    <w:p>
      <w:pPr>
        <w:spacing w:after="60"/>
      </w:pPr>
      <w:r>
        <w:rPr>
          <w:b w:val="0"/>
          <w:i w:val="0"/>
          <w:smallCaps w:val="0"/>
          <w:strike w:val="0"/>
          <w:u w:val="none"/>
        </w:rPr>
        <w:t>In cases filed by patent trolls during the analyzed period, 63.7% of the targeted respondent companies were headquartered in the United States. This percentage was greater than the already sizeable 53.9% of U.S.-based respondents in cases not filed by trolls. This striking difference between troll and non-troll cases had statistical significance at the 99% confidence level (with a t-score of 2.64), as calculated using data reported in the table below.</w:t>
      </w:r>
    </w:p>
    <w:p>
      <w:pPr>
        <w:spacing w:after="60"/>
      </w:pPr>
      <w:r>
        <w:rPr>
          <w:b w:val="0"/>
          <w:i w:val="0"/>
          <w:smallCaps w:val="0"/>
          <w:strike w:val="0"/>
          <w:u w:val="none"/>
        </w:rPr>
        <w:t xml:space="preserve">The problem becomes even more apparent when the </w:t>
      </w:r>
      <w:r>
        <w:rPr>
          <w:b w:val="0"/>
          <w:i w:val="0"/>
          <w:smallCaps w:val="0"/>
          <w:strike w:val="0"/>
          <w:sz w:val="22"/>
          <w:u w:val="single"/>
        </w:rPr>
        <w:t>analysis considers families of respondents</w:t>
      </w:r>
      <w:r>
        <w:rPr>
          <w:b w:val="0"/>
          <w:i w:val="0"/>
          <w:smallCaps w:val="0"/>
          <w:strike w:val="0"/>
          <w:u w:val="none"/>
        </w:rPr>
        <w:t xml:space="preserve">—i.e., groups of related companies sued at the ITC. Often, a </w:t>
      </w:r>
      <w:r>
        <w:rPr>
          <w:b w:val="0"/>
          <w:i w:val="0"/>
          <w:smallCaps w:val="0"/>
          <w:strike w:val="0"/>
          <w:sz w:val="22"/>
          <w:highlight w:val="cyan"/>
          <w:u w:val="single"/>
        </w:rPr>
        <w:t>foreign respondent</w:t>
      </w:r>
      <w:r>
        <w:rPr>
          <w:b w:val="0"/>
          <w:i w:val="0"/>
          <w:smallCaps w:val="0"/>
          <w:strike w:val="0"/>
          <w:u w:val="none"/>
        </w:rPr>
        <w:t xml:space="preserve"> company </w:t>
      </w:r>
      <w:r>
        <w:rPr>
          <w:b w:val="0"/>
          <w:i w:val="0"/>
          <w:smallCaps w:val="0"/>
          <w:strike w:val="0"/>
          <w:sz w:val="22"/>
          <w:highlight w:val="cyan"/>
          <w:u w:val="single"/>
        </w:rPr>
        <w:t xml:space="preserve">will have </w:t>
      </w:r>
      <w:r>
        <w:rPr>
          <w:b/>
          <w:i w:val="0"/>
          <w:smallCaps w:val="0"/>
          <w:strike w:val="0"/>
          <w:sz w:val="24"/>
          <w:highlight w:val="cyan"/>
          <w:u w:val="single"/>
        </w:rPr>
        <w:t>significant</w:t>
      </w:r>
      <w:r>
        <w:rPr>
          <w:b w:val="0"/>
          <w:i w:val="0"/>
          <w:smallCaps w:val="0"/>
          <w:strike w:val="0"/>
          <w:sz w:val="22"/>
          <w:highlight w:val="cyan"/>
          <w:u w:val="single"/>
        </w:rPr>
        <w:t xml:space="preserve"> U.S. affiliates</w:t>
      </w:r>
      <w:r>
        <w:rPr>
          <w:b w:val="0"/>
          <w:i w:val="0"/>
          <w:smallCaps w:val="0"/>
          <w:strike w:val="0"/>
          <w:u w:val="none"/>
        </w:rPr>
        <w:t xml:space="preserve"> engaged in U.S. research, </w:t>
      </w:r>
      <w:r>
        <w:rPr>
          <w:b w:val="0"/>
          <w:i w:val="0"/>
          <w:smallCaps w:val="0"/>
          <w:strike w:val="0"/>
          <w:sz w:val="22"/>
          <w:u w:val="single"/>
        </w:rPr>
        <w:t>manufacture, marketing, or distribution</w:t>
      </w:r>
      <w:r>
        <w:rPr>
          <w:b w:val="0"/>
          <w:i w:val="0"/>
          <w:smallCaps w:val="0"/>
          <w:strike w:val="0"/>
          <w:u w:val="none"/>
        </w:rPr>
        <w:t xml:space="preserve">, </w:t>
      </w:r>
      <w:r>
        <w:rPr>
          <w:b w:val="0"/>
          <w:i w:val="0"/>
          <w:smallCaps w:val="0"/>
          <w:strike w:val="0"/>
          <w:sz w:val="22"/>
          <w:highlight w:val="cyan"/>
          <w:u w:val="single"/>
        </w:rPr>
        <w:t xml:space="preserve">meaning there is no need to use the </w:t>
      </w:r>
      <w:r>
        <w:rPr>
          <w:b/>
          <w:i w:val="0"/>
          <w:smallCaps w:val="0"/>
          <w:strike w:val="0"/>
          <w:sz w:val="24"/>
          <w:highlight w:val="cyan"/>
          <w:u w:val="single"/>
        </w:rPr>
        <w:t>ITC</w:t>
      </w:r>
      <w:r>
        <w:rPr>
          <w:b w:val="0"/>
          <w:i w:val="0"/>
          <w:smallCaps w:val="0"/>
          <w:strike w:val="0"/>
          <w:sz w:val="22"/>
          <w:u w:val="single"/>
        </w:rPr>
        <w:t xml:space="preserve"> </w:t>
      </w:r>
      <w:r>
        <w:rPr>
          <w:b w:val="0"/>
          <w:i w:val="0"/>
          <w:smallCaps w:val="0"/>
          <w:strike w:val="0"/>
          <w:u w:val="none"/>
        </w:rPr>
        <w:t>process to gain jurisdiction. To take a recent example, in July 2021, a troll called Sonrai Memory Limited filed a case at the ITC against 10 respondents that manufacture a range of high-tech consumer goods.</w:t>
      </w:r>
      <w:r>
        <w:rPr>
          <w:b w:val="0"/>
          <w:i w:val="0"/>
          <w:smallCaps w:val="0"/>
          <w:strike w:val="0"/>
          <w:u w:val="none"/>
        </w:rPr>
        <w:t>[17]</w:t>
      </w:r>
      <w:r>
        <w:rPr>
          <w:b w:val="0"/>
          <w:i w:val="0"/>
          <w:smallCaps w:val="0"/>
          <w:strike w:val="0"/>
          <w:u w:val="none"/>
        </w:rPr>
        <w:t xml:space="preserve"> The respondents include both Lenovo Group Ltd. (headquartered in Beijing) and its subsidiary Lenovo United States Inc. (headquartered in North Carolina).</w:t>
      </w:r>
      <w:r>
        <w:rPr>
          <w:b w:val="0"/>
          <w:i w:val="0"/>
          <w:smallCaps w:val="0"/>
          <w:strike w:val="0"/>
          <w:u w:val="none"/>
        </w:rPr>
        <w:t>[18]</w:t>
      </w:r>
      <w:r>
        <w:rPr>
          <w:b w:val="0"/>
          <w:i w:val="0"/>
          <w:smallCaps w:val="0"/>
          <w:strike w:val="0"/>
          <w:u w:val="none"/>
        </w:rPr>
        <w:t xml:space="preserve"> Under the “respondent family” analysis, those entitles were treated as a single Lenovo family subject to federal district court jurisdiction.</w:t>
      </w:r>
    </w:p>
    <w:p>
      <w:pPr>
        <w:spacing w:after="60"/>
      </w:pPr>
      <w:r>
        <w:rPr>
          <w:b w:val="0"/>
          <w:i w:val="0"/>
          <w:smallCaps w:val="0"/>
          <w:strike w:val="0"/>
          <w:u w:val="none"/>
        </w:rPr>
        <w:t xml:space="preserve">In troll cases, 95.1% of </w:t>
      </w:r>
      <w:r>
        <w:rPr>
          <w:b w:val="0"/>
          <w:i w:val="0"/>
          <w:smallCaps w:val="0"/>
          <w:strike w:val="0"/>
          <w:sz w:val="22"/>
          <w:u w:val="single"/>
        </w:rPr>
        <w:t>respondent families had at least one U.S. affiliate</w:t>
      </w:r>
      <w:r>
        <w:rPr>
          <w:b w:val="0"/>
          <w:i w:val="0"/>
          <w:smallCaps w:val="0"/>
          <w:strike w:val="0"/>
          <w:u w:val="none"/>
        </w:rPr>
        <w:t xml:space="preserve">. This proportion far exceeded the already high </w:t>
      </w:r>
      <w:r>
        <w:rPr>
          <w:b w:val="0"/>
          <w:i w:val="0"/>
          <w:smallCaps w:val="0"/>
          <w:strike w:val="0"/>
          <w:sz w:val="22"/>
          <w:u w:val="single"/>
        </w:rPr>
        <w:t>proportion of 64.9% in non-troll cases</w:t>
      </w:r>
      <w:r>
        <w:rPr>
          <w:b w:val="0"/>
          <w:i w:val="0"/>
          <w:smallCaps w:val="0"/>
          <w:strike w:val="0"/>
          <w:u w:val="none"/>
        </w:rPr>
        <w:t xml:space="preserve">—with the difference having statistical significance at the 99.9% confidence level (with a t-score of 5.57). This significant difference supports the notion that </w:t>
      </w:r>
      <w:r>
        <w:rPr>
          <w:b/>
          <w:i w:val="0"/>
          <w:smallCaps w:val="0"/>
          <w:strike w:val="0"/>
          <w:sz w:val="24"/>
          <w:highlight w:val="cyan"/>
          <w:u w:val="single"/>
        </w:rPr>
        <w:t>trolls</w:t>
      </w:r>
      <w:r>
        <w:rPr>
          <w:b w:val="0"/>
          <w:i w:val="0"/>
          <w:smallCaps w:val="0"/>
          <w:strike w:val="0"/>
          <w:u w:val="none"/>
        </w:rPr>
        <w:t xml:space="preserve">, who </w:t>
      </w:r>
      <w:r>
        <w:rPr>
          <w:b w:val="0"/>
          <w:i w:val="0"/>
          <w:smallCaps w:val="0"/>
          <w:strike w:val="0"/>
          <w:sz w:val="22"/>
          <w:highlight w:val="cyan"/>
          <w:u w:val="single"/>
        </w:rPr>
        <w:t xml:space="preserve">use the ITC only to force more </w:t>
      </w:r>
      <w:r>
        <w:rPr>
          <w:b/>
          <w:i w:val="0"/>
          <w:smallCaps w:val="0"/>
          <w:strike w:val="0"/>
          <w:sz w:val="24"/>
          <w:highlight w:val="cyan"/>
          <w:u w:val="single"/>
        </w:rPr>
        <w:t>lucrative</w:t>
      </w:r>
      <w:r>
        <w:rPr>
          <w:b w:val="0"/>
          <w:i w:val="0"/>
          <w:smallCaps w:val="0"/>
          <w:strike w:val="0"/>
          <w:sz w:val="22"/>
          <w:highlight w:val="cyan"/>
          <w:u w:val="single"/>
        </w:rPr>
        <w:t xml:space="preserve"> settlements</w:t>
      </w:r>
      <w:r>
        <w:rPr>
          <w:b w:val="0"/>
          <w:i w:val="0"/>
          <w:smallCaps w:val="0"/>
          <w:strike w:val="0"/>
          <w:sz w:val="22"/>
          <w:u w:val="single"/>
        </w:rPr>
        <w:t xml:space="preserve"> than compensatory</w:t>
      </w:r>
      <w:r>
        <w:rPr>
          <w:b w:val="0"/>
          <w:i w:val="0"/>
          <w:smallCaps w:val="0"/>
          <w:strike w:val="0"/>
          <w:u w:val="none"/>
        </w:rPr>
        <w:t xml:space="preserve"> damages in federal district courts, believe that targeting U.S. companies is the most efficient way to achieve their ends.</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