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Empowering the ITC only bolsters section 337 — which greenlights patent trolls decking less innovation. </w:t>
      </w:r>
    </w:p>
    <w:p>
      <w:pPr>
        <w:spacing w:after="80"/>
      </w:pPr>
      <w:r>
        <w:rPr>
          <w:b/>
          <w:i w:val="0"/>
          <w:smallCaps w:val="0"/>
          <w:strike w:val="0"/>
          <w:sz w:val="26"/>
          <w:u w:val="none"/>
        </w:rPr>
        <w:t xml:space="preserve">Layton 23 </w:t>
      </w:r>
      <w:r>
        <w:rPr>
          <w:b w:val="0"/>
          <w:i w:val="0"/>
          <w:smallCaps w:val="0"/>
          <w:strike w:val="0"/>
          <w:u w:val="none"/>
        </w:rPr>
        <w:t>— Roslyn Layton, Senior Vice President of Strand Consult</w:t>
      </w:r>
      <w:r>
        <w:rPr>
          <w:b w:val="0"/>
          <w:i w:val="0"/>
          <w:smallCaps w:val="0"/>
          <w:strike w:val="0"/>
          <w:u w:val="none"/>
        </w:rPr>
        <w:t xml:space="preserve">, </w:t>
      </w:r>
      <w:r>
        <w:rPr>
          <w:b w:val="0"/>
          <w:i w:val="0"/>
          <w:smallCaps w:val="0"/>
          <w:strike w:val="0"/>
          <w:u w:val="none"/>
        </w:rPr>
        <w:t>Visiting Researcher at Aalborg University Copenhagen</w:t>
      </w:r>
      <w:r>
        <w:rPr>
          <w:b w:val="0"/>
          <w:i w:val="0"/>
          <w:smallCaps w:val="0"/>
          <w:strike w:val="0"/>
          <w:u w:val="none"/>
        </w:rPr>
        <w:t xml:space="preserve">, Former </w:t>
      </w:r>
      <w:r>
        <w:rPr>
          <w:b w:val="0"/>
          <w:i w:val="0"/>
          <w:smallCaps w:val="0"/>
          <w:strike w:val="0"/>
          <w:u w:val="none"/>
        </w:rPr>
        <w:t>Presidential Transition Team for the Federal Communications Commission</w:t>
      </w:r>
      <w:r>
        <w:rPr>
          <w:b w:val="0"/>
          <w:i w:val="0"/>
          <w:smallCaps w:val="0"/>
          <w:strike w:val="0"/>
          <w:u w:val="none"/>
        </w:rPr>
        <w:t>, D</w:t>
      </w:r>
      <w:r>
        <w:rPr>
          <w:b w:val="0"/>
          <w:i w:val="0"/>
          <w:smallCaps w:val="0"/>
          <w:strike w:val="0"/>
          <w:u w:val="none"/>
        </w:rPr>
        <w:t>octorate in internet economics, 2023(“The ITC Needs Bipartisan Reform to Deter Patent Speculators</w:t>
      </w:r>
      <w:r>
        <w:rPr>
          <w:b w:val="0"/>
          <w:i w:val="0"/>
          <w:smallCaps w:val="0"/>
          <w:strike w:val="0"/>
          <w:u w:val="none"/>
        </w:rPr>
        <w:t xml:space="preserve">,” </w:t>
      </w:r>
      <w:r>
        <w:rPr>
          <w:b w:val="0"/>
          <w:i/>
          <w:smallCaps w:val="0"/>
          <w:strike w:val="0"/>
          <w:u w:val="none"/>
        </w:rPr>
        <w:t>Bloomberg</w:t>
      </w:r>
      <w:r>
        <w:rPr>
          <w:b w:val="0"/>
          <w:i w:val="0"/>
          <w:smallCaps w:val="0"/>
          <w:strike w:val="0"/>
          <w:u w:val="none"/>
        </w:rPr>
        <w:t>, July 25</w:t>
      </w:r>
      <w:r>
        <w:rPr>
          <w:b w:val="0"/>
          <w:i w:val="0"/>
          <w:smallCaps w:val="0"/>
          <w:strike w:val="0"/>
          <w:u w:val="none"/>
        </w:rPr>
        <w:t>th</w:t>
      </w:r>
      <w:r>
        <w:rPr>
          <w:b w:val="0"/>
          <w:i w:val="0"/>
          <w:smallCaps w:val="0"/>
          <w:strike w:val="0"/>
          <w:u w:val="none"/>
        </w:rPr>
        <w:t xml:space="preserve">, Available Online at </w:t>
      </w:r>
      <w:r>
        <w:rPr>
          <w:b w:val="0"/>
          <w:i w:val="0"/>
          <w:smallCaps w:val="0"/>
          <w:strike w:val="0"/>
          <w:u w:val="none"/>
        </w:rPr>
        <w:t>https://news.bloomberglaw.com/us-law-week/the-itc-needs-bipartisan-reform-to-deter-patent-speculators</w:t>
      </w:r>
      <w:r>
        <w:rPr>
          <w:b w:val="0"/>
          <w:i w:val="0"/>
          <w:smallCaps w:val="0"/>
          <w:strike w:val="0"/>
          <w:u w:val="none"/>
        </w:rPr>
        <w:t>, Accessed 07-27-2024)</w:t>
      </w:r>
    </w:p>
    <w:p>
      <w:pPr>
        <w:spacing w:after="60"/>
      </w:pPr>
      <w:r>
        <w:rPr>
          <w:b w:val="0"/>
          <w:i w:val="0"/>
          <w:smallCaps w:val="0"/>
          <w:strike w:val="0"/>
          <w:sz w:val="22"/>
          <w:u w:val="single"/>
        </w:rPr>
        <w:t>Americans benefit from innovation and the policies and protections that promote it. However, the very system intended to protect US trade interests and innovators from foreign counterfeiters and infringers</w:t>
      </w:r>
      <w:r>
        <w:rPr>
          <w:b w:val="0"/>
          <w:i w:val="0"/>
          <w:smallCaps w:val="0"/>
          <w:strike w:val="0"/>
          <w:u w:val="none"/>
        </w:rPr>
        <w:t xml:space="preserve">, </w:t>
      </w:r>
      <w:r>
        <w:rPr>
          <w:b w:val="0"/>
          <w:i w:val="0"/>
          <w:smallCaps w:val="0"/>
          <w:strike w:val="0"/>
          <w:sz w:val="22"/>
          <w:u w:val="single"/>
        </w:rPr>
        <w:t>notably the I</w:t>
      </w:r>
      <w:r>
        <w:rPr>
          <w:b w:val="0"/>
          <w:i w:val="0"/>
          <w:smallCaps w:val="0"/>
          <w:strike w:val="0"/>
          <w:u w:val="none"/>
        </w:rPr>
        <w:t xml:space="preserve">nternational </w:t>
      </w:r>
      <w:r>
        <w:rPr>
          <w:b w:val="0"/>
          <w:i w:val="0"/>
          <w:smallCaps w:val="0"/>
          <w:strike w:val="0"/>
          <w:sz w:val="22"/>
          <w:u w:val="single"/>
        </w:rPr>
        <w:t>T</w:t>
      </w:r>
      <w:r>
        <w:rPr>
          <w:b w:val="0"/>
          <w:i w:val="0"/>
          <w:smallCaps w:val="0"/>
          <w:strike w:val="0"/>
          <w:u w:val="none"/>
        </w:rPr>
        <w:t xml:space="preserve">rade </w:t>
      </w:r>
      <w:r>
        <w:rPr>
          <w:b w:val="0"/>
          <w:i w:val="0"/>
          <w:smallCaps w:val="0"/>
          <w:strike w:val="0"/>
          <w:sz w:val="22"/>
          <w:u w:val="single"/>
        </w:rPr>
        <w:t>C</w:t>
      </w:r>
      <w:r>
        <w:rPr>
          <w:b w:val="0"/>
          <w:i w:val="0"/>
          <w:smallCaps w:val="0"/>
          <w:strike w:val="0"/>
          <w:u w:val="none"/>
        </w:rPr>
        <w:t xml:space="preserve">ommission, </w:t>
      </w:r>
      <w:r>
        <w:rPr>
          <w:b w:val="0"/>
          <w:i w:val="0"/>
          <w:smallCaps w:val="0"/>
          <w:strike w:val="0"/>
          <w:sz w:val="22"/>
          <w:u w:val="single"/>
        </w:rPr>
        <w:t>is being abused by non-practicing entities that specialize in acquiring patents for extortion—not for development or commercialization into product</w:t>
      </w:r>
      <w:r>
        <w:rPr>
          <w:b w:val="0"/>
          <w:i w:val="0"/>
          <w:smallCaps w:val="0"/>
          <w:strike w:val="0"/>
          <w:u w:val="none"/>
        </w:rPr>
        <w:t>s.</w:t>
      </w:r>
    </w:p>
    <w:p>
      <w:pPr>
        <w:spacing w:after="60"/>
      </w:pPr>
      <w:r>
        <w:rPr>
          <w:b w:val="0"/>
          <w:i w:val="0"/>
          <w:smallCaps w:val="0"/>
          <w:strike w:val="0"/>
          <w:u w:val="none"/>
        </w:rPr>
        <w:t xml:space="preserve">Also known as </w:t>
      </w:r>
      <w:r>
        <w:rPr>
          <w:b w:val="0"/>
          <w:i w:val="0"/>
          <w:smallCaps w:val="0"/>
          <w:strike w:val="0"/>
          <w:sz w:val="22"/>
          <w:u w:val="single"/>
        </w:rPr>
        <w:t>patent trolls</w:t>
      </w:r>
      <w:r>
        <w:rPr>
          <w:b w:val="0"/>
          <w:i w:val="0"/>
          <w:smallCaps w:val="0"/>
          <w:strike w:val="0"/>
          <w:u w:val="none"/>
        </w:rPr>
        <w:t xml:space="preserve">, </w:t>
      </w:r>
      <w:r>
        <w:rPr>
          <w:b w:val="0"/>
          <w:i w:val="0"/>
          <w:smallCaps w:val="0"/>
          <w:strike w:val="0"/>
          <w:sz w:val="22"/>
          <w:u w:val="single"/>
        </w:rPr>
        <w:t>more and more NPEs are filing lawsuits at the ITC</w:t>
      </w:r>
      <w:r>
        <w:rPr>
          <w:b w:val="0"/>
          <w:i w:val="0"/>
          <w:smallCaps w:val="0"/>
          <w:strike w:val="0"/>
          <w:u w:val="none"/>
        </w:rPr>
        <w:t xml:space="preserve"> where they hope </w:t>
      </w:r>
      <w:r>
        <w:rPr>
          <w:b w:val="0"/>
          <w:i w:val="0"/>
          <w:smallCaps w:val="0"/>
          <w:strike w:val="0"/>
          <w:sz w:val="22"/>
          <w:u w:val="single"/>
        </w:rPr>
        <w:t>they</w:t>
      </w:r>
      <w:r>
        <w:rPr>
          <w:b w:val="0"/>
          <w:i w:val="0"/>
          <w:smallCaps w:val="0"/>
          <w:strike w:val="0"/>
          <w:u w:val="none"/>
        </w:rPr>
        <w:t xml:space="preserve"> can </w:t>
      </w:r>
      <w:r>
        <w:rPr>
          <w:b w:val="0"/>
          <w:i w:val="0"/>
          <w:smallCaps w:val="0"/>
          <w:strike w:val="0"/>
          <w:sz w:val="22"/>
          <w:u w:val="single"/>
        </w:rPr>
        <w:t>win powerful exclusion orders under a law called Section 337</w:t>
      </w:r>
      <w:r>
        <w:rPr>
          <w:b w:val="0"/>
          <w:i w:val="0"/>
          <w:smallCaps w:val="0"/>
          <w:strike w:val="0"/>
          <w:u w:val="none"/>
        </w:rPr>
        <w:t>. Exclusion orders block allegedly infringing imports from the US, and NPEs use the threat of such an order to shake down legitimate companies and extract a large financial settlement.</w:t>
      </w:r>
    </w:p>
    <w:p>
      <w:pPr>
        <w:spacing w:after="60"/>
      </w:pPr>
      <w:r>
        <w:rPr>
          <w:b w:val="0"/>
          <w:i w:val="0"/>
          <w:smallCaps w:val="0"/>
          <w:strike w:val="0"/>
          <w:sz w:val="22"/>
          <w:u w:val="single"/>
        </w:rPr>
        <w:t>Over time, this problem has grown worse</w:t>
      </w:r>
      <w:r>
        <w:rPr>
          <w:b w:val="0"/>
          <w:i w:val="0"/>
          <w:smallCaps w:val="0"/>
          <w:strike w:val="0"/>
          <w:u w:val="none"/>
        </w:rPr>
        <w:t xml:space="preserve">. An </w:t>
      </w:r>
      <w:r>
        <w:rPr>
          <w:b w:val="0"/>
          <w:i w:val="0"/>
          <w:smallCaps w:val="0"/>
          <w:strike w:val="0"/>
          <w:sz w:val="22"/>
          <w:u w:val="single"/>
        </w:rPr>
        <w:t>ITC exclusion order can be based on infringement of a single patent</w:t>
      </w:r>
      <w:r>
        <w:rPr>
          <w:b w:val="0"/>
          <w:i w:val="0"/>
          <w:smallCaps w:val="0"/>
          <w:strike w:val="0"/>
          <w:u w:val="none"/>
        </w:rPr>
        <w:t xml:space="preserve">. But today, </w:t>
      </w:r>
      <w:r>
        <w:rPr>
          <w:b w:val="0"/>
          <w:i w:val="0"/>
          <w:smallCaps w:val="0"/>
          <w:strike w:val="0"/>
          <w:sz w:val="22"/>
          <w:u w:val="single"/>
        </w:rPr>
        <w:t>modern products are increasingly complex and may potentially touch on thousands of individual patents—making it easier and easier for patent trolls to find a single patent hook that justifies their bringing an exploitative infringement claim</w:t>
      </w:r>
      <w:r>
        <w:rPr>
          <w:b w:val="0"/>
          <w:i w:val="0"/>
          <w:smallCaps w:val="0"/>
          <w:strike w:val="0"/>
          <w:u w:val="none"/>
        </w:rPr>
        <w:t>.</w:t>
      </w:r>
    </w:p>
    <w:p>
      <w:pPr>
        <w:spacing w:after="60"/>
      </w:pPr>
      <w:r>
        <w:rPr>
          <w:b w:val="0"/>
          <w:i w:val="0"/>
          <w:smallCaps w:val="0"/>
          <w:strike w:val="0"/>
          <w:u w:val="none"/>
        </w:rPr>
        <w:t xml:space="preserve">These </w:t>
      </w:r>
      <w:r>
        <w:rPr>
          <w:b w:val="0"/>
          <w:i w:val="0"/>
          <w:smallCaps w:val="0"/>
          <w:strike w:val="0"/>
          <w:sz w:val="22"/>
          <w:u w:val="single"/>
        </w:rPr>
        <w:t>abusive practices at the ITC have increasingly real consequences given the IP-intensive nature of the modern econom</w:t>
      </w:r>
      <w:r>
        <w:rPr>
          <w:b w:val="0"/>
          <w:i w:val="0"/>
          <w:smallCaps w:val="0"/>
          <w:strike w:val="0"/>
          <w:u w:val="none"/>
        </w:rPr>
        <w:t xml:space="preserve">y. IP-intensive industries are some of the largest pistons of America’s economic engine—in 2019, they </w:t>
      </w:r>
      <w:r>
        <w:rPr>
          <w:b w:val="0"/>
          <w:i w:val="0"/>
          <w:smallCaps w:val="0"/>
          <w:strike w:val="0"/>
          <w:sz w:val="22"/>
          <w:u w:val="single"/>
        </w:rPr>
        <w:t>accounted for 41% of output ($7.8 trillion) and 44% of jobs (63 million</w:t>
      </w:r>
      <w:r>
        <w:rPr>
          <w:b w:val="0"/>
          <w:i w:val="0"/>
          <w:smallCaps w:val="0"/>
          <w:strike w:val="0"/>
          <w:u w:val="none"/>
        </w:rPr>
        <w:t>).</w:t>
      </w:r>
    </w:p>
    <w:p>
      <w:pPr>
        <w:spacing w:after="60"/>
      </w:pPr>
      <w:r>
        <w:rPr>
          <w:b w:val="0"/>
          <w:i w:val="0"/>
          <w:smallCaps w:val="0"/>
          <w:strike w:val="0"/>
          <w:sz w:val="22"/>
          <w:u w:val="single"/>
        </w:rPr>
        <w:t>Yet these same IP-intensive industries are frequently in the crosshairs of NPEs. And it’s not just the large firms that suffer from the ITC’s tolerance of patent trolls. Small business owners and entrepreneurs are often the victims of bad actors as well.</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