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Permutation solves best</w:t>
      </w:r>
    </w:p>
    <w:p>
      <w:pPr>
        <w:spacing w:after="80"/>
      </w:pPr>
      <w:r>
        <w:rPr>
          <w:b w:val="0"/>
          <w:i w:val="0"/>
          <w:smallCaps w:val="0"/>
          <w:strike w:val="0"/>
          <w:u w:val="none"/>
        </w:rPr>
        <w:t xml:space="preserve">Doris </w:t>
      </w:r>
      <w:r>
        <w:rPr>
          <w:b/>
          <w:i w:val="0"/>
          <w:smallCaps w:val="0"/>
          <w:strike w:val="0"/>
          <w:sz w:val="26"/>
          <w:u w:val="none"/>
        </w:rPr>
        <w:t>Johnson 13,</w:t>
      </w:r>
      <w:r>
        <w:rPr>
          <w:b w:val="0"/>
          <w:i w:val="0"/>
          <w:smallCaps w:val="0"/>
          <w:strike w:val="0"/>
          <w:u w:val="none"/>
        </w:rPr>
        <w:t xml:space="preserve"> </w:t>
      </w:r>
      <w:r>
        <w:rPr>
          <w:b w:val="0"/>
          <w:i w:val="0"/>
          <w:smallCaps w:val="0"/>
          <w:strike w:val="0"/>
          <w:u w:val="none"/>
        </w:rPr>
        <w:t xml:space="preserve">Doris Johnson is a partner at Finnegan and has a JD from Duke University, February </w:t>
      </w:r>
      <w:r>
        <w:rPr>
          <w:b w:val="0"/>
          <w:i w:val="0"/>
          <w:smallCaps w:val="0"/>
          <w:strike w:val="0"/>
          <w:u w:val="none"/>
        </w:rPr>
        <w:t>2013, "The Continuing (R)evolution of Injunctive Relief in the District Courts and the International Trade Commission", Finnegan | Leading IP+ Law Firm, https://www.finnegan.com/en/insights/articles/the-continuing-r-evolution-of-injunctive-relief-in-the-district.html</w:t>
      </w:r>
      <w:r>
        <w:rPr>
          <w:b w:val="0"/>
          <w:i w:val="0"/>
          <w:smallCaps w:val="0"/>
          <w:strike w:val="0"/>
          <w:u w:val="none"/>
        </w:rPr>
        <w:t>//susu</w:t>
      </w:r>
    </w:p>
    <w:p>
      <w:pPr>
        <w:spacing w:after="60"/>
      </w:pPr>
      <w:r>
        <w:rPr>
          <w:b w:val="0"/>
          <w:i w:val="0"/>
          <w:smallCaps w:val="0"/>
          <w:strike w:val="0"/>
          <w:u w:val="none"/>
        </w:rPr>
        <w:t xml:space="preserve">This trend may continue for several reasons. </w:t>
      </w:r>
      <w:r>
        <w:rPr>
          <w:b w:val="0"/>
          <w:i w:val="0"/>
          <w:smallCaps w:val="0"/>
          <w:strike w:val="0"/>
          <w:u w:val="single"/>
        </w:rPr>
        <w:t xml:space="preserve">First, the </w:t>
      </w:r>
      <w:r>
        <w:rPr>
          <w:b/>
          <w:i w:val="0"/>
          <w:smallCaps w:val="0"/>
          <w:strike w:val="0"/>
          <w:u w:val="single"/>
        </w:rPr>
        <w:t>ITC</w:t>
      </w:r>
      <w:r>
        <w:rPr>
          <w:b w:val="0"/>
          <w:i w:val="0"/>
          <w:smallCaps w:val="0"/>
          <w:strike w:val="0"/>
          <w:u w:val="single"/>
        </w:rPr>
        <w:t xml:space="preserve"> offers a number of advantages to patent owner complainants</w:t>
      </w:r>
      <w:r>
        <w:rPr>
          <w:b/>
          <w:i w:val="0"/>
          <w:smallCaps w:val="0"/>
          <w:strike w:val="0"/>
          <w:u w:val="single"/>
        </w:rPr>
        <w:t>, in addition</w:t>
      </w:r>
      <w:r>
        <w:rPr>
          <w:b w:val="0"/>
          <w:i w:val="0"/>
          <w:smallCaps w:val="0"/>
          <w:strike w:val="0"/>
          <w:u w:val="single"/>
        </w:rPr>
        <w:t xml:space="preserve"> to the increased availability of injunctive-type </w:t>
      </w:r>
      <w:r>
        <w:rPr>
          <w:b/>
          <w:i w:val="0"/>
          <w:smallCaps w:val="0"/>
          <w:strike w:val="0"/>
          <w:u w:val="single"/>
        </w:rPr>
        <w:t>relief.</w:t>
      </w:r>
      <w:r>
        <w:rPr>
          <w:b w:val="0"/>
          <w:i w:val="0"/>
          <w:smallCaps w:val="0"/>
          <w:strike w:val="0"/>
          <w:u w:val="none"/>
        </w:rPr>
        <w:t xml:space="preserve"> Not only is broad discovery permitted in ITC investigations, where the limitations imposed by the Federal Rules of Civil Procedure do not apply, but they must be concluded “at the earliest practicable time” </w:t>
      </w:r>
      <w:r>
        <w:rPr>
          <w:b w:val="0"/>
          <w:i w:val="0"/>
          <w:smallCaps w:val="0"/>
          <w:strike w:val="0"/>
          <w:u w:val="none"/>
        </w:rPr>
        <w:t>28</w:t>
      </w:r>
      <w:r>
        <w:rPr>
          <w:b w:val="0"/>
          <w:i w:val="0"/>
          <w:smallCaps w:val="0"/>
          <w:strike w:val="0"/>
          <w:u w:val="none"/>
        </w:rPr>
        <w:t>—typically within about 16–18 months after institution.</w:t>
      </w:r>
      <w:r>
        <w:rPr>
          <w:b w:val="0"/>
          <w:i w:val="0"/>
          <w:smallCaps w:val="0"/>
          <w:strike w:val="0"/>
          <w:u w:val="none"/>
        </w:rPr>
        <w:t>29</w:t>
      </w:r>
      <w:r>
        <w:rPr>
          <w:b w:val="0"/>
          <w:i w:val="0"/>
          <w:smallCaps w:val="0"/>
          <w:strike w:val="0"/>
          <w:u w:val="none"/>
        </w:rPr>
        <w:t xml:space="preserve"> And </w:t>
      </w:r>
      <w:r>
        <w:rPr>
          <w:b w:val="0"/>
          <w:i w:val="0"/>
          <w:smallCaps w:val="0"/>
          <w:strike w:val="0"/>
          <w:u w:val="single"/>
        </w:rPr>
        <w:t xml:space="preserve">district courts routinely stay cases once a parallel </w:t>
      </w:r>
      <w:r>
        <w:rPr>
          <w:b/>
          <w:i w:val="0"/>
          <w:smallCaps w:val="0"/>
          <w:strike w:val="0"/>
          <w:u w:val="single"/>
        </w:rPr>
        <w:t>ITC</w:t>
      </w:r>
      <w:r>
        <w:rPr>
          <w:b w:val="0"/>
          <w:i w:val="0"/>
          <w:smallCaps w:val="0"/>
          <w:strike w:val="0"/>
          <w:u w:val="single"/>
        </w:rPr>
        <w:t xml:space="preserve"> investigation </w:t>
      </w:r>
      <w:r>
        <w:rPr>
          <w:b/>
          <w:i w:val="0"/>
          <w:smallCaps w:val="0"/>
          <w:strike w:val="0"/>
          <w:u w:val="single"/>
        </w:rPr>
        <w:t>has been initiated</w:t>
      </w:r>
      <w:r>
        <w:rPr>
          <w:b w:val="0"/>
          <w:i w:val="0"/>
          <w:smallCaps w:val="0"/>
          <w:strike w:val="0"/>
          <w:u w:val="single"/>
        </w:rPr>
        <w:t>.</w:t>
      </w:r>
      <w:r>
        <w:rPr>
          <w:b w:val="0"/>
          <w:i w:val="0"/>
          <w:smallCaps w:val="0"/>
          <w:strike w:val="0"/>
          <w:u w:val="single"/>
        </w:rPr>
        <w:t>30</w:t>
      </w:r>
      <w:r>
        <w:rPr>
          <w:b w:val="0"/>
          <w:i w:val="0"/>
          <w:smallCaps w:val="0"/>
          <w:strike w:val="0"/>
          <w:u w:val="single"/>
        </w:rPr>
        <w:t xml:space="preserve"> Thus, when there are </w:t>
      </w:r>
      <w:r>
        <w:rPr>
          <w:b/>
          <w:i w:val="0"/>
          <w:smallCaps w:val="0"/>
          <w:strike w:val="0"/>
          <w:u w:val="single"/>
        </w:rPr>
        <w:t>parallel district court</w:t>
      </w:r>
      <w:r>
        <w:rPr>
          <w:b w:val="0"/>
          <w:i w:val="0"/>
          <w:smallCaps w:val="0"/>
          <w:strike w:val="0"/>
          <w:u w:val="single"/>
        </w:rPr>
        <w:t xml:space="preserve"> and ITC proceedings, discovery from the ITC is often used at the </w:t>
      </w:r>
      <w:r>
        <w:rPr>
          <w:b/>
          <w:i w:val="0"/>
          <w:smallCaps w:val="0"/>
          <w:strike w:val="0"/>
          <w:u w:val="single"/>
        </w:rPr>
        <w:t>district court</w:t>
      </w:r>
      <w:r>
        <w:rPr>
          <w:b w:val="0"/>
          <w:i w:val="0"/>
          <w:smallCaps w:val="0"/>
          <w:strike w:val="0"/>
          <w:u w:val="none"/>
        </w:rPr>
        <w:t xml:space="preserve">. </w:t>
      </w:r>
      <w:r>
        <w:rPr>
          <w:b w:val="0"/>
          <w:i w:val="0"/>
          <w:smallCaps w:val="0"/>
          <w:strike w:val="0"/>
          <w:u w:val="single"/>
        </w:rPr>
        <w:t xml:space="preserve">While not binding, the district court also has the </w:t>
      </w:r>
      <w:r>
        <w:rPr>
          <w:b/>
          <w:i w:val="0"/>
          <w:smallCaps w:val="0"/>
          <w:strike w:val="0"/>
          <w:u w:val="single"/>
        </w:rPr>
        <w:t>benefit of the ITC’s rulings</w:t>
      </w:r>
      <w:r>
        <w:rPr>
          <w:b w:val="0"/>
          <w:i w:val="0"/>
          <w:smallCaps w:val="0"/>
          <w:strike w:val="0"/>
          <w:u w:val="single"/>
        </w:rPr>
        <w:t xml:space="preserve"> on</w:t>
      </w:r>
      <w:r>
        <w:rPr>
          <w:b w:val="0"/>
          <w:i w:val="0"/>
          <w:smallCaps w:val="0"/>
          <w:strike w:val="0"/>
          <w:u w:val="none"/>
        </w:rPr>
        <w:t xml:space="preserve">, for example, claim construction. </w:t>
      </w:r>
      <w:r>
        <w:rPr>
          <w:b w:val="0"/>
          <w:i w:val="0"/>
          <w:smallCaps w:val="0"/>
          <w:strike w:val="0"/>
          <w:u w:val="single"/>
        </w:rPr>
        <w:t xml:space="preserve">In addition, nothing precludes a district court from </w:t>
      </w:r>
      <w:r>
        <w:rPr>
          <w:b/>
          <w:i w:val="0"/>
          <w:smallCaps w:val="0"/>
          <w:strike w:val="0"/>
          <w:u w:val="single"/>
        </w:rPr>
        <w:t>granting alternative relief</w:t>
      </w:r>
      <w:r>
        <w:rPr>
          <w:b w:val="0"/>
          <w:i w:val="0"/>
          <w:smallCaps w:val="0"/>
          <w:strike w:val="0"/>
          <w:u w:val="single"/>
        </w:rPr>
        <w:t xml:space="preserve"> to a patent owner involved in a </w:t>
      </w:r>
      <w:r>
        <w:rPr>
          <w:b/>
          <w:i w:val="0"/>
          <w:smallCaps w:val="0"/>
          <w:strike w:val="0"/>
          <w:u w:val="single"/>
        </w:rPr>
        <w:t>parallel ITC</w:t>
      </w:r>
      <w:r>
        <w:rPr>
          <w:b w:val="0"/>
          <w:i w:val="0"/>
          <w:smallCaps w:val="0"/>
          <w:strike w:val="0"/>
          <w:u w:val="single"/>
        </w:rPr>
        <w:t xml:space="preserve"> </w:t>
      </w:r>
      <w:r>
        <w:rPr>
          <w:b/>
          <w:i w:val="0"/>
          <w:smallCaps w:val="0"/>
          <w:strike w:val="0"/>
          <w:u w:val="single"/>
        </w:rPr>
        <w:t>investigation</w:t>
      </w:r>
      <w:r>
        <w:rPr>
          <w:b w:val="0"/>
          <w:i w:val="0"/>
          <w:smallCaps w:val="0"/>
          <w:strike w:val="0"/>
          <w:u w:val="single"/>
        </w:rPr>
        <w:t>, regardless of the ITC’s final determination.</w:t>
      </w:r>
      <w:r>
        <w:rPr>
          <w:b w:val="0"/>
          <w:i w:val="0"/>
          <w:smallCaps w:val="0"/>
          <w:strike w:val="0"/>
          <w:u w:val="single"/>
        </w:rPr>
        <w:t>31</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