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Indigenous cultural heritage must be taken into account in the manner that it is constantly changing and dynamic, which old policies ignore --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Farah* and Tremolada** 15 </w:t>
      </w:r>
      <w:r>
        <w:rPr>
          <w:b w:val="0"/>
          <w:i w:val="0"/>
          <w:smallCaps w:val="0"/>
          <w:strike w:val="0"/>
          <w:color w:val="000000"/>
          <w:u w:val="none"/>
        </w:rPr>
        <w:t>* Farah, West Virginia University, John D. Rockefeller IV School of Policy and Politics, Department of Public Administration and College of Law, Morgantown, WV, USA; Director of Research at gLAWcal - Global Law Initiatives for Sustainable Development, United Kingdom; Visiting Scholar, Harvard Law School, Cambridge, MA, USA, East Asian Legal Studies, 2011-12; Dual PhD in International Law, Aix-Marseille University, France and Universita degli Studi di Milano, Italy; LL.M, College of Europe, Bruges, Belgium; J.D., University of Paris Ouest La Defense Nanterre, France.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** Tremolada, Research Associate at gLAWcal - Global Law Initiatives for Sustainable Development, United Kingdom; PhD Candidate, University of Naples Federico II, Italy; S.J.D. Candidate, Shanghai JiaoTong University, KoGuan Law School, China; Trainee Lawyer, Cleary Gottlieb Steen &amp; Hamilton, Italy; J.D., Universita degli Studi di Milano School of Law, Italy., (*Paolo D., **Riccardo, “RTICLE: Conflict Between </w:t>
      </w:r>
      <w:r>
        <w:rPr>
          <w:b w:val="0"/>
          <w:i w:val="0"/>
          <w:smallCaps w:val="0"/>
          <w:strike w:val="0"/>
          <w:color w:val="000000"/>
          <w:u w:val="none"/>
        </w:rPr>
        <w:t>Intellectual Property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Rights and Human Rights: A Case Study on Intangible Cultural Heritage</w:t>
      </w:r>
      <w:r>
        <w:rPr>
          <w:b w:val="0"/>
          <w:i w:val="0"/>
          <w:smallCaps w:val="0"/>
          <w:strike w:val="0"/>
          <w:u w:val="none"/>
        </w:rPr>
        <w:t xml:space="preserve">”, </w:t>
      </w:r>
      <w:r>
        <w:rPr>
          <w:b w:val="0"/>
          <w:i/>
          <w:smallCaps w:val="0"/>
          <w:strike w:val="0"/>
          <w:u w:val="none"/>
        </w:rPr>
        <w:t>Global Law Initiatives for Sustainable Development</w:t>
      </w:r>
      <w:r>
        <w:rPr>
          <w:b w:val="0"/>
          <w:i w:val="0"/>
          <w:smallCaps w:val="0"/>
          <w:strike w:val="0"/>
          <w:u w:val="none"/>
        </w:rPr>
        <w:t xml:space="preserve">, 2015, Accessed on NexisUni via University of Michigan Library System, DOA: 6/29/24)//LFS – LMH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 xml:space="preserve">The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protection of ICH must take into account the inherently dynamic nature of the subject matter.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Although different forms of protection for cultural expression and </w:t>
      </w:r>
      <w:r>
        <w:rPr>
          <w:b w:val="0"/>
          <w:i w:val="0"/>
          <w:smallCaps w:val="0"/>
          <w:strike w:val="0"/>
          <w:color w:val="000000"/>
          <w:u w:val="single"/>
        </w:rPr>
        <w:t>knowledge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 have been envisaged since the late 1800s, </w:t>
      </w:r>
      <w:r>
        <w:rPr>
          <w:b/>
          <w:i w:val="0"/>
          <w:smallCaps w:val="0"/>
          <w:strike w:val="0"/>
          <w:color w:val="000000"/>
          <w:u w:val="single"/>
        </w:rPr>
        <w:t>65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 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the first international multilateral framework for this issue was not attained until October 2003,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when the UNESCO General Conference adopted the International Convention on the Safeguarding of Intangible Cultural Heritage. </w:t>
      </w:r>
      <w:r>
        <w:rPr>
          <w:b/>
          <w:i w:val="0"/>
          <w:smallCaps w:val="0"/>
          <w:strike w:val="0"/>
          <w:color w:val="000000"/>
          <w:u w:val="none"/>
        </w:rPr>
        <w:t>66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Until the end of the  [*141]  twentieth century, </w:t>
      </w:r>
      <w:r>
        <w:rPr>
          <w:b/>
          <w:i w:val="0"/>
          <w:smallCaps w:val="0"/>
          <w:strike w:val="0"/>
          <w:color w:val="000000"/>
          <w:u w:val="single"/>
        </w:rPr>
        <w:t>67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 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the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most important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tools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used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to protect cultural heritage focused exclusively on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its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tangible expressions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, the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relevance of which was to be evaluated on the basis of an objective perception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of their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artistic, aesthetic, architectural, scientific, or economic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value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. </w:t>
      </w:r>
      <w:r>
        <w:rPr>
          <w:b/>
          <w:i w:val="0"/>
          <w:smallCaps w:val="0"/>
          <w:strike w:val="0"/>
          <w:color w:val="000000"/>
          <w:u w:val="single"/>
        </w:rPr>
        <w:t>68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 The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lack of attention to intangible expressions of the cultural heritage was a direct consequence of the confidence that this heritage would continue to be developed at the local level and transmitted to new generations</w:t>
      </w:r>
      <w:r>
        <w:rPr>
          <w:b w:val="0"/>
          <w:i w:val="0"/>
          <w:smallCaps w:val="0"/>
          <w:strike w:val="0"/>
          <w:color w:val="000000"/>
          <w:u w:val="single"/>
        </w:rPr>
        <w:t>. Hence, there was an assumption that ICH would be protected as a fundamental part of the community's cultural and social life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. This automatic and spontaneous process, however, was undermined by the advent of globalization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, </w:t>
      </w:r>
      <w:r>
        <w:rPr>
          <w:b/>
          <w:i w:val="0"/>
          <w:smallCaps w:val="0"/>
          <w:strike w:val="0"/>
          <w:color w:val="000000"/>
          <w:u w:val="single"/>
        </w:rPr>
        <w:t>69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 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which led to an intensification of intercultural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 xml:space="preserve"> relations, as well as cultural oppression and the imposition of certain cultural patterns over others.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 </w:t>
      </w:r>
      <w:r>
        <w:rPr>
          <w:b/>
          <w:i w:val="0"/>
          <w:smallCaps w:val="0"/>
          <w:strike w:val="0"/>
          <w:color w:val="000000"/>
          <w:u w:val="none"/>
        </w:rPr>
        <w:t>70</w:t>
      </w:r>
    </w:p>
    <w:p>
      <w:pPr>
        <w:pStyle w:val="Caption"/>
      </w:pPr>
      <w:r>
        <w:t>Source: Natives Neg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