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No one is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held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accountable – it is impossible to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enforce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I-Law violations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sz w:val="20"/>
          <w:u w:val="none"/>
        </w:rPr>
        <w:t>Ingrid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Weuerth ‘17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International Law Professor at Vanderbilt Law School, serves on the State Department's Advisory Committee on Public International Law, 4-10-2017, Does International Law Have a “Broken Windows” Problem?, Vanderbilt Law School,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shaka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Many norms of international law</w:t>
      </w:r>
      <w:r>
        <w:rPr>
          <w:b w:val="0"/>
          <w:i w:val="0"/>
          <w:smallCaps w:val="0"/>
          <w:strike w:val="0"/>
          <w:color w:val="000000"/>
          <w:u w:val="single"/>
        </w:rPr>
        <w:t>, especially international human rights law, are widely violated.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The international legal system as a whole may suffer as result.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International human rights law has changed international law. The two primary sources of international legal obligations—treaties and custom</w:t>
      </w:r>
      <w:r>
        <w:rPr>
          <w:b w:val="0"/>
          <w:i w:val="0"/>
          <w:smallCaps w:val="0"/>
          <w:strike w:val="0"/>
          <w:color w:val="000000"/>
          <w:u w:val="single"/>
        </w:rPr>
        <w:t>—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have become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more expansive and looser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so as to bring more human rights norms into the ambit of international law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, despite wide-spread non-compliance with those norms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In one sense, the success of the effort is clear: international law now regulates a vast array of human-rights-related conduct. Whether the expansion is an effective way to promote human rights is widely-debated.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The broader, unacknowledged problem, however, is the potential effect of the expansion on international law as a whole, as I discuss in detail here. Today, international law includes a broad range of human rights norms which are routinely violated, from the U.N. reporting requirements to gross violations of human dignity. </w:t>
      </w:r>
      <w:r>
        <w:rPr>
          <w:b/>
          <w:i w:val="0"/>
          <w:smallCaps w:val="0"/>
          <w:strike w:val="0"/>
          <w:color w:val="000000"/>
          <w:u w:val="single"/>
        </w:rPr>
        <w:t xml:space="preserve">Wide-spread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violations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of some legal norms may, in turn, make it harder to enforce others. As a (very) imperfect analogy, consider the “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broken windows”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theory of crime prevention: widespread violations of human rights law may be a symbol of unaccountability, a signal that no one cares about violations of international law and that </w:t>
      </w:r>
      <w:r>
        <w:rPr>
          <w:b/>
          <w:i w:val="0"/>
          <w:smallCaps w:val="0"/>
          <w:strike w:val="0"/>
          <w:color w:val="000000"/>
          <w:highlight w:val="cyan"/>
          <w:u w:val="single"/>
        </w:rPr>
        <w:t>no one is in charge.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Accountability is a fundamental concern of public international law because the system lacks a centralized enforcement mechanism. Whatever the merits of the “broken windows” argument in the context of domestic law enforcement, behavior which signals a lack of accountability may be especially damaging to international law writ large.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