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Colonialist rhetoric has real effects as the justification behind the scholarship leads to things like violence and terrorism – and capitalism undergirds colonialist rhetoric like 1AC</w:t>
      </w:r>
    </w:p>
    <w:p>
      <w:pPr>
        <w:spacing w:after="80"/>
      </w:pPr>
      <w:r>
        <w:rPr>
          <w:b/>
          <w:i w:val="0"/>
          <w:smallCaps w:val="0"/>
          <w:strike w:val="0"/>
          <w:sz w:val="26"/>
          <w:u w:val="none"/>
        </w:rPr>
        <w:t xml:space="preserve">Jalata 11 </w:t>
      </w:r>
      <w:r>
        <w:rPr>
          <w:b w:val="0"/>
          <w:i w:val="0"/>
          <w:smallCaps w:val="0"/>
          <w:strike w:val="0"/>
          <w:u w:val="none"/>
        </w:rPr>
        <w:t>Jalata is professor of sociology and global and Africana studies at the University of Tennessee, Knoxville.</w:t>
      </w:r>
      <w:r>
        <w:rPr>
          <w:b w:val="0"/>
          <w:i w:val="0"/>
          <w:smallCaps w:val="0"/>
          <w:strike w:val="0"/>
          <w:u w:val="none"/>
        </w:rPr>
        <w:t xml:space="preserve"> (Asafa, “Indigenous Peoples in the Capitalist World System: Researching, Knowing and Promoting Social Justice”, </w:t>
      </w:r>
      <w:r>
        <w:rPr>
          <w:b w:val="0"/>
          <w:i/>
          <w:smallCaps w:val="0"/>
          <w:strike w:val="0"/>
          <w:u w:val="none"/>
        </w:rPr>
        <w:t xml:space="preserve">University of Tennessee Knoxville Sociology Publications and other Works, </w:t>
      </w:r>
      <w:r>
        <w:rPr>
          <w:b w:val="0"/>
          <w:i w:val="0"/>
          <w:smallCaps w:val="0"/>
          <w:strike w:val="0"/>
          <w:u w:val="none"/>
        </w:rPr>
        <w:t xml:space="preserve">April 2011, </w:t>
      </w:r>
      <w:r>
        <w:rPr>
          <w:b w:val="0"/>
          <w:i w:val="0"/>
          <w:smallCaps w:val="0"/>
          <w:strike w:val="0"/>
          <w:u w:val="none"/>
        </w:rPr>
        <w:t>, DOA: 6/27/24)//LFS – LMH</w:t>
      </w:r>
    </w:p>
    <w:p>
      <w:pPr>
        <w:spacing w:after="60"/>
      </w:pPr>
      <w:r>
        <w:rPr>
          <w:b w:val="0"/>
          <w:i w:val="0"/>
          <w:smallCaps w:val="0"/>
          <w:strike w:val="0"/>
          <w:u w:val="single"/>
        </w:rPr>
        <w:t xml:space="preserve">While the class system and gender hierarchy were maintained to protect the power of rich white males in an emerging white societies, </w:t>
      </w:r>
      <w:r>
        <w:rPr>
          <w:b w:val="0"/>
          <w:i w:val="0"/>
          <w:smallCaps w:val="0"/>
          <w:strike w:val="0"/>
          <w:highlight w:val="cyan"/>
          <w:u w:val="single"/>
        </w:rPr>
        <w:t>the racial caste</w:t>
      </w:r>
      <w:r>
        <w:rPr>
          <w:b w:val="0"/>
          <w:i w:val="0"/>
          <w:smallCaps w:val="0"/>
          <w:strike w:val="0"/>
          <w:u w:val="single"/>
        </w:rPr>
        <w:t xml:space="preserve"> (i.e., racial slavery and segregation) </w:t>
      </w:r>
      <w:r>
        <w:rPr>
          <w:b w:val="0"/>
          <w:i w:val="0"/>
          <w:smallCaps w:val="0"/>
          <w:strike w:val="0"/>
          <w:highlight w:val="cyan"/>
          <w:u w:val="single"/>
        </w:rPr>
        <w:t>was invented to keep indigenous and enslaved peoples at the bottom</w:t>
      </w:r>
      <w:r>
        <w:rPr>
          <w:b w:val="0"/>
          <w:i w:val="0"/>
          <w:smallCaps w:val="0"/>
          <w:strike w:val="0"/>
          <w:u w:val="single"/>
        </w:rPr>
        <w:t xml:space="preserve"> of white societies so that they would provide their labor and other resources freely or cheaply. </w:t>
      </w:r>
      <w:r>
        <w:rPr>
          <w:b w:val="0"/>
          <w:i w:val="0"/>
          <w:smallCaps w:val="0"/>
          <w:strike w:val="0"/>
          <w:u w:val="none"/>
        </w:rPr>
        <w:t xml:space="preserve">As the ideology of whiteness was used to exterminate Native Americans and to transfer their resources to white society, it was also used to explain and justify racial slavery and segregation. </w:t>
      </w:r>
      <w:r>
        <w:rPr>
          <w:b w:val="0"/>
          <w:i w:val="0"/>
          <w:smallCaps w:val="0"/>
          <w:strike w:val="0"/>
          <w:highlight w:val="cyan"/>
          <w:u w:val="single"/>
        </w:rPr>
        <w:t>The settlers</w:t>
      </w:r>
      <w:r>
        <w:rPr>
          <w:b w:val="0"/>
          <w:i w:val="0"/>
          <w:smallCaps w:val="0"/>
          <w:strike w:val="0"/>
          <w:u w:val="single"/>
        </w:rPr>
        <w:t xml:space="preserve"> conveniently invented “Indian savagery” through the ideology of 4 whiteness and </w:t>
      </w:r>
      <w:r>
        <w:rPr>
          <w:b w:val="0"/>
          <w:i w:val="0"/>
          <w:smallCaps w:val="0"/>
          <w:strike w:val="0"/>
          <w:highlight w:val="cyan"/>
          <w:u w:val="single"/>
        </w:rPr>
        <w:t>committed genocide</w:t>
      </w:r>
      <w:r>
        <w:rPr>
          <w:b w:val="0"/>
          <w:i w:val="0"/>
          <w:smallCaps w:val="0"/>
          <w:strike w:val="0"/>
          <w:u w:val="single"/>
        </w:rPr>
        <w:t xml:space="preserve"> on indigenous Americans (Roediger 1991) and other indigenous peoples. Although </w:t>
      </w:r>
      <w:r>
        <w:rPr>
          <w:b w:val="0"/>
          <w:i w:val="0"/>
          <w:smallCaps w:val="0"/>
          <w:strike w:val="0"/>
          <w:highlight w:val="cyan"/>
          <w:u w:val="single"/>
        </w:rPr>
        <w:t>many authors</w:t>
      </w:r>
      <w:r>
        <w:rPr>
          <w:b w:val="0"/>
          <w:i w:val="0"/>
          <w:smallCaps w:val="0"/>
          <w:strike w:val="0"/>
          <w:u w:val="single"/>
        </w:rPr>
        <w:t xml:space="preserve"> explained the role of colonial violence in the Americas and in other continents, they </w:t>
      </w:r>
      <w:r>
        <w:rPr>
          <w:b w:val="0"/>
          <w:i w:val="0"/>
          <w:smallCaps w:val="0"/>
          <w:strike w:val="0"/>
          <w:highlight w:val="cyan"/>
          <w:u w:val="single"/>
        </w:rPr>
        <w:t>did not explore the connections among capitalist incorporation</w:t>
      </w:r>
      <w:r>
        <w:rPr>
          <w:b w:val="0"/>
          <w:i w:val="0"/>
          <w:smallCaps w:val="0"/>
          <w:strike w:val="0"/>
          <w:u w:val="single"/>
        </w:rPr>
        <w:t xml:space="preserve">, various forms of violence, </w:t>
      </w:r>
      <w:r>
        <w:rPr>
          <w:b w:val="0"/>
          <w:i w:val="0"/>
          <w:smallCaps w:val="0"/>
          <w:strike w:val="0"/>
          <w:highlight w:val="cyan"/>
          <w:u w:val="single"/>
        </w:rPr>
        <w:t>and colonial terrorism</w:t>
      </w:r>
      <w:r>
        <w:rPr>
          <w:b w:val="0"/>
          <w:i w:val="0"/>
          <w:smallCaps w:val="0"/>
          <w:strike w:val="0"/>
          <w:u w:val="single"/>
        </w:rPr>
        <w:t xml:space="preserve">. Competing European colonial forces engaged in state-sponsored terrorism that was practiced in forms of unjustified wars, organized and systematic mass killings, mutilation and trophy taking, ecological and cultural destruction, and spreading of lethal diseases and continued subjugation. </w:t>
      </w:r>
      <w:r>
        <w:rPr>
          <w:b w:val="0"/>
          <w:i w:val="0"/>
          <w:smallCaps w:val="0"/>
          <w:strike w:val="0"/>
          <w:highlight w:val="cyan"/>
          <w:u w:val="single"/>
        </w:rPr>
        <w:t>By engaging in</w:t>
      </w:r>
      <w:r>
        <w:rPr>
          <w:b w:val="0"/>
          <w:i w:val="0"/>
          <w:smallCaps w:val="0"/>
          <w:strike w:val="0"/>
          <w:u w:val="single"/>
        </w:rPr>
        <w:t xml:space="preserve"> such </w:t>
      </w:r>
      <w:r>
        <w:rPr>
          <w:b w:val="0"/>
          <w:i w:val="0"/>
          <w:smallCaps w:val="0"/>
          <w:strike w:val="0"/>
          <w:highlight w:val="cyan"/>
          <w:u w:val="single"/>
        </w:rPr>
        <w:t xml:space="preserve">crimes against humanity, </w:t>
      </w:r>
      <w:r>
        <w:rPr>
          <w:b w:val="0"/>
          <w:i w:val="0"/>
          <w:smallCaps w:val="0"/>
          <w:strike w:val="0"/>
          <w:u w:val="single"/>
        </w:rPr>
        <w:t xml:space="preserve">the </w:t>
      </w:r>
      <w:r>
        <w:rPr>
          <w:b w:val="0"/>
          <w:i w:val="0"/>
          <w:smallCaps w:val="0"/>
          <w:strike w:val="0"/>
          <w:highlight w:val="cyan"/>
          <w:u w:val="single"/>
        </w:rPr>
        <w:t>European colonial forces had laid the foundations for the economic and political supremacy of North America and Western Europe in the global capitalist world system.</w:t>
      </w:r>
      <w:r>
        <w:rPr>
          <w:b w:val="0"/>
          <w:i w:val="0"/>
          <w:smallCaps w:val="0"/>
          <w:strike w:val="0"/>
          <w:u w:val="none"/>
        </w:rPr>
        <w:t xml:space="preserve"> The terrorist attacks on the life and liberty of indigenous peoples by European colonial powers and their collaborators also destroyed existing institutions and economies and exposed the conquered peoples to poverty and famine-induced “holocausts” (Davis 2001). The destruction of indigenous cultures and institutions resulted in massive deaths (Polanyi 1944: 159-160).</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