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Courts are the best option</w:t>
      </w:r>
    </w:p>
    <w:p>
      <w:pPr>
        <w:spacing w:after="80"/>
      </w:pPr>
      <w:r>
        <w:rPr>
          <w:b w:val="0"/>
          <w:i w:val="0"/>
          <w:smallCaps w:val="0"/>
          <w:strike w:val="0"/>
          <w:sz w:val="18"/>
          <w:u w:val="none"/>
        </w:rPr>
        <w:t xml:space="preserve">Stephen R. </w:t>
      </w:r>
      <w:r>
        <w:rPr>
          <w:b/>
          <w:i w:val="0"/>
          <w:smallCaps w:val="0"/>
          <w:strike w:val="0"/>
          <w:sz w:val="26"/>
          <w:u w:val="none"/>
        </w:rPr>
        <w:t>Munzer 24</w:t>
      </w:r>
      <w:r>
        <w:rPr>
          <w:b w:val="0"/>
          <w:i w:val="0"/>
          <w:smallCaps w:val="0"/>
          <w:strike w:val="0"/>
          <w:sz w:val="18"/>
          <w:u w:val="none"/>
        </w:rPr>
        <w:t xml:space="preserve">, Stephen Munzer teaches Contracts, Property, and courses and seminars in legal philosophy and biotechnology. The American Philosophical Association awarded him the David Baumgardt Memorial Fellowship for 1997-98, and the Berger Prize in the Philosophy of Law in 1999, A Framework for Managing Disputes Over Intellectual Property Rights in Traditional Knowledge, 29 MICH. J. RACE &amp; L. 31 (2024). Available at: </w:t>
      </w:r>
      <w:r>
        <w:rPr>
          <w:b w:val="0"/>
          <w:i w:val="0"/>
          <w:smallCaps w:val="0"/>
          <w:strike w:val="0"/>
          <w:sz w:val="18"/>
          <w:u w:val="none"/>
        </w:rPr>
        <w:t xml:space="preserve"> shaka</w:t>
      </w:r>
    </w:p>
    <w:p>
      <w:pPr>
        <w:spacing w:after="60"/>
      </w:pPr>
      <w:r>
        <w:rPr>
          <w:b w:val="0"/>
          <w:i w:val="0"/>
          <w:smallCaps w:val="0"/>
          <w:strike w:val="0"/>
          <w:sz w:val="18"/>
          <w:u w:val="none"/>
        </w:rPr>
        <w:t xml:space="preserve">On the other hand, </w:t>
      </w:r>
      <w:r>
        <w:rPr>
          <w:b w:val="0"/>
          <w:i w:val="0"/>
          <w:smallCaps w:val="0"/>
          <w:strike w:val="0"/>
          <w:sz w:val="18"/>
          <w:highlight w:val="cyan"/>
          <w:u w:val="single"/>
        </w:rPr>
        <w:t xml:space="preserve">courts are </w:t>
      </w:r>
      <w:r>
        <w:rPr>
          <w:b/>
          <w:i w:val="0"/>
          <w:smallCaps w:val="0"/>
          <w:strike w:val="0"/>
          <w:sz w:val="18"/>
          <w:highlight w:val="cyan"/>
          <w:u w:val="single"/>
        </w:rPr>
        <w:t>better</w:t>
      </w:r>
      <w:r>
        <w:rPr>
          <w:b w:val="0"/>
          <w:i w:val="0"/>
          <w:smallCaps w:val="0"/>
          <w:strike w:val="0"/>
          <w:sz w:val="18"/>
          <w:highlight w:val="cyan"/>
          <w:u w:val="single"/>
        </w:rPr>
        <w:t xml:space="preserve"> than administrative agencies at settling highly particularized disputes</w:t>
      </w:r>
      <w:r>
        <w:rPr>
          <w:b w:val="0"/>
          <w:i w:val="0"/>
          <w:smallCaps w:val="0"/>
          <w:strike w:val="0"/>
          <w:sz w:val="18"/>
          <w:u w:val="none"/>
        </w:rPr>
        <w:t xml:space="preserve">, if only because judges are used to dealing with the specific facts of a case. All the same, given </w:t>
      </w:r>
      <w:r>
        <w:rPr>
          <w:b w:val="0"/>
          <w:i w:val="0"/>
          <w:smallCaps w:val="0"/>
          <w:strike w:val="0"/>
          <w:sz w:val="18"/>
          <w:u w:val="single"/>
        </w:rPr>
        <w:t xml:space="preserve">the way </w:t>
      </w:r>
      <w:r>
        <w:rPr>
          <w:b w:val="0"/>
          <w:i w:val="0"/>
          <w:smallCaps w:val="0"/>
          <w:strike w:val="0"/>
          <w:sz w:val="18"/>
          <w:highlight w:val="cyan"/>
          <w:u w:val="single"/>
        </w:rPr>
        <w:t xml:space="preserve">administrative law has often been overlooked in the classification of </w:t>
      </w:r>
      <w:r>
        <w:rPr>
          <w:b/>
          <w:i w:val="0"/>
          <w:smallCaps w:val="0"/>
          <w:strike w:val="0"/>
          <w:sz w:val="18"/>
          <w:highlight w:val="cyan"/>
          <w:u w:val="single"/>
        </w:rPr>
        <w:t>IK</w:t>
      </w:r>
      <w:r>
        <w:rPr>
          <w:b w:val="0"/>
          <w:i w:val="0"/>
          <w:smallCaps w:val="0"/>
          <w:strike w:val="0"/>
          <w:sz w:val="18"/>
          <w:highlight w:val="cyan"/>
          <w:u w:val="single"/>
        </w:rPr>
        <w:t xml:space="preserve"> and </w:t>
      </w:r>
      <w:r>
        <w:rPr>
          <w:b/>
          <w:i w:val="0"/>
          <w:smallCaps w:val="0"/>
          <w:strike w:val="0"/>
          <w:sz w:val="18"/>
          <w:highlight w:val="cyan"/>
          <w:u w:val="single"/>
        </w:rPr>
        <w:t>TCEs</w:t>
      </w:r>
      <w:r>
        <w:rPr>
          <w:b w:val="0"/>
          <w:i w:val="0"/>
          <w:smallCaps w:val="0"/>
          <w:strike w:val="0"/>
          <w:sz w:val="18"/>
          <w:highlight w:val="cyan"/>
          <w:u w:val="single"/>
        </w:rPr>
        <w:t xml:space="preserve"> and the settlement of disputes over them</w:t>
      </w:r>
      <w:r>
        <w:rPr>
          <w:b w:val="0"/>
          <w:i w:val="0"/>
          <w:smallCaps w:val="0"/>
          <w:strike w:val="0"/>
          <w:sz w:val="18"/>
          <w:u w:val="none"/>
        </w:rPr>
        <w:t xml:space="preserve">, it is salutary to mark out a place for administrative regulations. </w:t>
      </w:r>
      <w:r>
        <w:rPr>
          <w:b w:val="0"/>
          <w:i w:val="0"/>
          <w:smallCaps w:val="0"/>
          <w:strike w:val="0"/>
          <w:sz w:val="18"/>
          <w:u w:val="single"/>
        </w:rPr>
        <w:t xml:space="preserve">party known for his bark paintings. </w:t>
      </w:r>
      <w:r>
        <w:rPr>
          <w:b w:val="0"/>
          <w:i w:val="0"/>
          <w:smallCaps w:val="0"/>
          <w:strike w:val="0"/>
          <w:sz w:val="18"/>
          <w:highlight w:val="cyan"/>
          <w:u w:val="single"/>
        </w:rPr>
        <w:t xml:space="preserve">In Tenodi, Indigenous Mowanjum people were off-stage but the court’s decision </w:t>
      </w:r>
      <w:r>
        <w:rPr>
          <w:b/>
          <w:i w:val="0"/>
          <w:smallCaps w:val="0"/>
          <w:strike w:val="0"/>
          <w:sz w:val="18"/>
          <w:highlight w:val="cyan"/>
          <w:u w:val="single"/>
        </w:rPr>
        <w:t>protected</w:t>
      </w:r>
      <w:r>
        <w:rPr>
          <w:b w:val="0"/>
          <w:i w:val="0"/>
          <w:smallCaps w:val="0"/>
          <w:strike w:val="0"/>
          <w:sz w:val="18"/>
          <w:highlight w:val="cyan"/>
          <w:u w:val="single"/>
        </w:rPr>
        <w:t xml:space="preserve"> their interests.</w:t>
      </w:r>
    </w:p>
    <w:p>
      <w:pPr>
        <w:pStyle w:val="Caption"/>
      </w:pPr>
      <w:r>
        <w:t>Source: Natives Neg - Michigan 7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