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Alternate cause – cryptocurrency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Daniel </w:t>
      </w:r>
      <w:r>
        <w:rPr>
          <w:b/>
          <w:i w:val="0"/>
          <w:smallCaps w:val="0"/>
          <w:strike w:val="0"/>
          <w:sz w:val="26"/>
          <w:u w:val="none"/>
        </w:rPr>
        <w:t>Calingaert</w:t>
      </w:r>
      <w:r>
        <w:rPr>
          <w:b/>
          <w:i w:val="0"/>
          <w:smallCaps w:val="0"/>
          <w:strike w:val="0"/>
          <w:sz w:val="26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</w:t>
      </w:r>
      <w:r>
        <w:rPr>
          <w:b w:val="0"/>
          <w:i w:val="0"/>
          <w:smallCaps w:val="0"/>
          <w:strike w:val="0"/>
          <w:u w:val="none"/>
        </w:rPr>
        <w:t xml:space="preserve">Dean for Global Programs at Bard College </w:t>
      </w:r>
      <w:r>
        <w:rPr>
          <w:b w:val="0"/>
          <w:i w:val="0"/>
          <w:smallCaps w:val="0"/>
          <w:strike w:val="0"/>
          <w:u w:val="none"/>
        </w:rPr>
        <w:t xml:space="preserve">“Dismantle the Global Financial Secrecy System” Global Financial Integrity, 6/6,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Digital assets, including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cryptocurrencies, pose a significant risk of illicit finance, because they can mask the identity of owners and cross borders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almost instantly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regulated financial institutions serving as intermediaries</w:t>
      </w:r>
      <w:r>
        <w:rPr>
          <w:b w:val="0"/>
          <w:i w:val="0"/>
          <w:smallCaps w:val="0"/>
          <w:strike w:val="0"/>
          <w:u w:val="none"/>
        </w:rPr>
        <w:t xml:space="preserve">.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Crypto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increasingly used to launder money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evade sanctions</w:t>
      </w:r>
      <w:r>
        <w:rPr>
          <w:b w:val="0"/>
          <w:i w:val="0"/>
          <w:smallCaps w:val="0"/>
          <w:strike w:val="0"/>
          <w:u w:val="none"/>
        </w:rPr>
        <w:t xml:space="preserve">.  For example, fentanyl chemical producers in China have relied on crypto to sell their products to drug cartels.  The risk posed by crypto was highlighted by </w:t>
      </w:r>
      <w:r>
        <w:rPr>
          <w:b w:val="0"/>
          <w:i w:val="0"/>
          <w:smallCaps w:val="0"/>
          <w:strike w:val="0"/>
          <w:u w:val="none"/>
        </w:rPr>
        <w:t>Binance</w:t>
      </w:r>
      <w:r>
        <w:rPr>
          <w:b w:val="0"/>
          <w:i w:val="0"/>
          <w:smallCaps w:val="0"/>
          <w:strike w:val="0"/>
          <w:u w:val="none"/>
        </w:rPr>
        <w:t>, the world’s largest cryptocurrency exchange, when its founder pleaded guilty to money laundering violations.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Anti-money laundering requirements should be extended to digital assets service providers, as the European Union has done in its Market in Crypto Assets regulation and as a bipartisan group of </w:t>
      </w:r>
      <w:r>
        <w:rPr>
          <w:b w:val="0"/>
          <w:i w:val="0"/>
          <w:smallCaps w:val="0"/>
          <w:strike w:val="0"/>
          <w:u w:val="none"/>
        </w:rPr>
        <w:t>U.S.</w:t>
      </w:r>
      <w:r>
        <w:rPr>
          <w:b w:val="0"/>
          <w:i w:val="0"/>
          <w:smallCaps w:val="0"/>
          <w:strike w:val="0"/>
          <w:u w:val="none"/>
        </w:rPr>
        <w:t xml:space="preserve"> Senators has proposed in the Digital Asset Anti-Money Laundering Act.  Digital assets service providers should be required to identify the beneficial owners of the accounts they offer and transactions they process and to block suspicious financial flows.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