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Empirically – trademark protection </w:t>
      </w:r>
      <w:r>
        <w:rPr>
          <w:b/>
          <w:i w:val="0"/>
          <w:smallCaps w:val="0"/>
          <w:strike w:val="0"/>
          <w:sz w:val="26"/>
          <w:u w:val="none"/>
        </w:rPr>
        <w:t xml:space="preserve">reduces </w:t>
      </w:r>
      <w:r>
        <w:rPr>
          <w:b/>
          <w:i w:val="0"/>
          <w:smallCaps w:val="0"/>
          <w:strike w:val="0"/>
          <w:sz w:val="26"/>
          <w:u w:val="single"/>
        </w:rPr>
        <w:t>R&amp;</w:t>
      </w:r>
      <w:r>
        <w:rPr>
          <w:b/>
          <w:i w:val="0"/>
          <w:smallCaps w:val="0"/>
          <w:strike w:val="0"/>
          <w:sz w:val="26"/>
          <w:u w:val="single"/>
        </w:rPr>
        <w:t>D spending</w:t>
      </w:r>
      <w:r>
        <w:rPr>
          <w:b/>
          <w:i w:val="0"/>
          <w:smallCaps w:val="0"/>
          <w:strike w:val="0"/>
          <w:sz w:val="26"/>
          <w:u w:val="none"/>
        </w:rPr>
        <w:t xml:space="preserve"> and </w:t>
      </w:r>
      <w:r>
        <w:rPr>
          <w:b/>
          <w:i w:val="0"/>
          <w:smallCaps w:val="0"/>
          <w:strike w:val="0"/>
          <w:sz w:val="26"/>
          <w:u w:val="single"/>
        </w:rPr>
        <w:t>patents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Davidson </w:t>
      </w:r>
      <w:r>
        <w:rPr>
          <w:b/>
          <w:i w:val="0"/>
          <w:smallCaps w:val="0"/>
          <w:strike w:val="0"/>
          <w:sz w:val="26"/>
          <w:u w:val="none"/>
        </w:rPr>
        <w:t>Heath and</w:t>
      </w:r>
      <w:r>
        <w:rPr>
          <w:b w:val="0"/>
          <w:i w:val="0"/>
          <w:smallCaps w:val="0"/>
          <w:strike w:val="0"/>
          <w:u w:val="none"/>
        </w:rPr>
        <w:t xml:space="preserve"> Christopher </w:t>
      </w:r>
      <w:r>
        <w:rPr>
          <w:b/>
          <w:i w:val="0"/>
          <w:smallCaps w:val="0"/>
          <w:strike w:val="0"/>
          <w:sz w:val="26"/>
          <w:u w:val="none"/>
        </w:rPr>
        <w:t>Mace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 xml:space="preserve">20 </w:t>
      </w:r>
      <w:r>
        <w:rPr>
          <w:b w:val="0"/>
          <w:i w:val="0"/>
          <w:smallCaps w:val="0"/>
          <w:strike w:val="0"/>
          <w:u w:val="none"/>
        </w:rPr>
        <w:t xml:space="preserve">– professors of business at the University of Utah. “The Strategic Effects of Trademark Protection” The Review of Financial Studies 33 (2020) 1848–1877, Oxford University Press, accessed via University of Michigan //DH </w:t>
      </w:r>
      <w:r>
        <w:rPr>
          <w:b/>
          <w:i w:val="0"/>
          <w:smallCaps w:val="0"/>
          <w:strike w:val="0"/>
          <w:u w:val="none"/>
        </w:rPr>
        <w:t>FTDA = Federal Trademark Dilution Act of 1996, “treated firms” means firms that were affected by the FTDA’s protection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Next</w:t>
      </w:r>
      <w:r>
        <w:rPr>
          <w:b w:val="0"/>
          <w:i w:val="0"/>
          <w:smallCaps w:val="0"/>
          <w:strike w:val="0"/>
          <w:u w:val="none"/>
        </w:rPr>
        <w:t xml:space="preserve"> we investigate the relationship between trademark protection and innovation. A large theoretical literature predicts that the incentive to innovate depends on firms' market power, specifically the difference between expected </w:t>
      </w:r>
      <w:r>
        <w:rPr>
          <w:b w:val="0"/>
          <w:i w:val="0"/>
          <w:smallCaps w:val="0"/>
          <w:strike w:val="0"/>
          <w:u w:val="none"/>
        </w:rPr>
        <w:t>preinnovation</w:t>
      </w:r>
      <w:r>
        <w:rPr>
          <w:b w:val="0"/>
          <w:i w:val="0"/>
          <w:smallCaps w:val="0"/>
          <w:strike w:val="0"/>
          <w:u w:val="none"/>
        </w:rPr>
        <w:t xml:space="preserve"> and </w:t>
      </w:r>
      <w:r>
        <w:rPr>
          <w:b w:val="0"/>
          <w:i w:val="0"/>
          <w:smallCaps w:val="0"/>
          <w:strike w:val="0"/>
          <w:u w:val="none"/>
        </w:rPr>
        <w:t>postinnovation</w:t>
      </w:r>
      <w:r>
        <w:rPr>
          <w:b w:val="0"/>
          <w:i w:val="0"/>
          <w:smallCaps w:val="0"/>
          <w:strike w:val="0"/>
          <w:u w:val="none"/>
        </w:rPr>
        <w:t xml:space="preserve"> rents (Arrow 1962; Aghion and Howitt 1992; Aghion et al. 2009). Both the quiet life hypothesis (Bertrand and Mullainathan 2003) and the Chamberlin (1933) rent extraction hypothesis suggest that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stronger trademark protection leads to more managerial slack or more </w:t>
      </w:r>
      <w:r>
        <w:rPr>
          <w:b w:val="0"/>
          <w:i w:val="0"/>
          <w:smallCaps w:val="0"/>
          <w:strike w:val="0"/>
          <w:sz w:val="22"/>
          <w:u w:val="single"/>
        </w:rPr>
        <w:t>preinnovation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rents, and thus to less innovation</w:t>
      </w:r>
      <w:r>
        <w:rPr>
          <w:b w:val="0"/>
          <w:i w:val="0"/>
          <w:smallCaps w:val="0"/>
          <w:strike w:val="0"/>
          <w:u w:val="none"/>
        </w:rPr>
        <w:t>. Alternatively, the higher profits we document might have relaxed financial constraints and been at least partly plowed back into R&amp;D.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Table 4 investigates several measures of firms' innovative activities. </w:t>
      </w:r>
      <w:r>
        <w:rPr>
          <w:b w:val="0"/>
          <w:i w:val="0"/>
          <w:smallCaps w:val="0"/>
          <w:strike w:val="0"/>
          <w:sz w:val="22"/>
          <w:u w:val="single"/>
        </w:rPr>
        <w:t>Column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1 shows that treated firms reduced R&amp;D spending over assets by 0.32 pp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following the FTDA. This is a significant change relative to their pretreatment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mean of 3.4%.</w:t>
      </w:r>
      <w:r>
        <w:rPr>
          <w:b w:val="0"/>
          <w:i w:val="0"/>
          <w:smallCaps w:val="0"/>
          <w:strike w:val="0"/>
          <w:u w:val="none"/>
        </w:rPr>
        <w:t xml:space="preserve"> Column 2 shows that </w:t>
      </w:r>
      <w:r>
        <w:rPr>
          <w:b w:val="0"/>
          <w:i w:val="0"/>
          <w:smallCaps w:val="0"/>
          <w:strike w:val="0"/>
          <w:sz w:val="22"/>
          <w:u w:val="single"/>
        </w:rPr>
        <w:t>treated firms took out 9% fewer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patents post-FTDA</w:t>
      </w:r>
      <w:r>
        <w:rPr>
          <w:b w:val="0"/>
          <w:i w:val="0"/>
          <w:smallCaps w:val="0"/>
          <w:strike w:val="0"/>
          <w:u w:val="none"/>
        </w:rPr>
        <w:t>. When we weight patents by the adjusted citations they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subsequently received, the reduction is greater at —14% (Column 3). However,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estimated dollar value of granted patents for treated firms (from Kogan et al.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2017) </w:t>
      </w:r>
      <w:r>
        <w:rPr>
          <w:b w:val="0"/>
          <w:i w:val="0"/>
          <w:smallCaps w:val="0"/>
          <w:strike w:val="0"/>
          <w:u w:val="none"/>
        </w:rPr>
        <w:t>actually increased</w:t>
      </w:r>
      <w:r>
        <w:rPr>
          <w:b w:val="0"/>
          <w:i w:val="0"/>
          <w:smallCaps w:val="0"/>
          <w:strike w:val="0"/>
          <w:u w:val="none"/>
        </w:rPr>
        <w:t xml:space="preserve"> post-treatment by 13% (Column 4). The asymmetry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citation- and dollar-weighted estimates is striking, and consistent with 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FTDA leading treated firms to pursue a less exploratory and more exploitative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innovation strategy.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Apart from R&amp;D and patents, a common measure of product-level innovation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is announcements of major new product lines gathered from newspapers or trade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magazines (Chaney, Devinney, and Winer 1991; Mishra and Bhabra 2001).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Table 4 Column 5 shows that treated firms were 13% less likely to announce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 major new product in the post-treatment period, with the number of new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products announced showing a 24% decrease (Column 6). Taken together,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these results appear consistent with both the quiet life and trademarks-foster-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monopoly hypotheses, or a model in which the FTDA discouraged innovation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by raising </w:t>
      </w:r>
      <w:r>
        <w:rPr>
          <w:b w:val="0"/>
          <w:i w:val="0"/>
          <w:smallCaps w:val="0"/>
          <w:strike w:val="0"/>
          <w:u w:val="none"/>
        </w:rPr>
        <w:t>preinnovation</w:t>
      </w:r>
      <w:r>
        <w:rPr>
          <w:b w:val="0"/>
          <w:i w:val="0"/>
          <w:smallCaps w:val="0"/>
          <w:strike w:val="0"/>
          <w:u w:val="none"/>
        </w:rPr>
        <w:t xml:space="preserve"> rents.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Figure 4 shows graphs of the </w:t>
      </w:r>
      <w:r>
        <w:rPr>
          <w:b w:val="0"/>
          <w:i w:val="0"/>
          <w:smallCaps w:val="0"/>
          <w:strike w:val="0"/>
          <w:u w:val="none"/>
        </w:rPr>
        <w:t>year by year</w:t>
      </w:r>
      <w:r>
        <w:rPr>
          <w:b w:val="0"/>
          <w:i w:val="0"/>
          <w:smallCaps w:val="0"/>
          <w:strike w:val="0"/>
          <w:u w:val="none"/>
        </w:rPr>
        <w:t xml:space="preserve"> coefficients for the main innovation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outcomes, R&amp;D spending and patents. For brevity the graphs span 1982-2005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to include the TLRA, FTDA, and the Moseley decision. Panel A shows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treated firms' R&amp;D spending was unchanged around the TLRA placebo event,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fell after the passage of the FTDA, and reversed to pretreatment levels following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the Moseley decision. Panel B shows that new patent grants were unchanged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around the TLRA placebo event, fell after the passage of the FTDA, and leveled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off following the Moseley decision. These year-by-year coefficient estimates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are consistent with the estimates in Table 4 and with our hypotheses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following the FTDA, treated firms moved from an innovative toward an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exploitative product market strategy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E-Commerce Neg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