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Current trademark protections don’t disrupt the upcycling and repair movements</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 xml:space="preserve">Overall, </w:t>
      </w:r>
      <w:r>
        <w:rPr>
          <w:b w:val="0"/>
          <w:i w:val="0"/>
          <w:smallCaps w:val="0"/>
          <w:strike w:val="0"/>
          <w:sz w:val="22"/>
          <w:highlight w:val="cyan"/>
          <w:u w:val="single"/>
        </w:rPr>
        <w:t xml:space="preserve">the </w:t>
      </w:r>
      <w:r>
        <w:rPr>
          <w:b w:val="0"/>
          <w:i w:val="0"/>
          <w:smallCaps w:val="0"/>
          <w:strike w:val="0"/>
          <w:sz w:val="22"/>
          <w:highlight w:val="cyan"/>
          <w:u w:val="single"/>
        </w:rPr>
        <w:t>first-sale</w:t>
      </w:r>
      <w:r>
        <w:rPr>
          <w:b w:val="0"/>
          <w:i w:val="0"/>
          <w:smallCaps w:val="0"/>
          <w:strike w:val="0"/>
          <w:sz w:val="22"/>
          <w:highlight w:val="cyan"/>
          <w:u w:val="single"/>
        </w:rPr>
        <w:t xml:space="preserve"> and fair use defenses provide a strong initial base of rights for those who wish to repair, recondition, or even improve a product</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So long as a consumer has access to relevant information about modifications</w:t>
      </w:r>
      <w:r>
        <w:rPr>
          <w:b w:val="0"/>
          <w:i w:val="0"/>
          <w:smallCaps w:val="0"/>
          <w:strike w:val="0"/>
          <w:sz w:val="22"/>
          <w:u w:val="single"/>
        </w:rPr>
        <w:t xml:space="preserve"> and receives an honest description of the lack of connection with the trademark owner, </w:t>
      </w:r>
      <w:r>
        <w:rPr>
          <w:b w:val="0"/>
          <w:i w:val="0"/>
          <w:smallCaps w:val="0"/>
          <w:strike w:val="0"/>
          <w:sz w:val="22"/>
          <w:highlight w:val="cyan"/>
          <w:u w:val="single"/>
        </w:rPr>
        <w:t>liability based on purchaser confusion may be avoided</w:t>
      </w:r>
      <w:r>
        <w:rPr>
          <w:b w:val="0"/>
          <w:i w:val="0"/>
          <w:smallCaps w:val="0"/>
          <w:strike w:val="0"/>
          <w:u w:val="none"/>
        </w:rPr>
        <w:t xml:space="preserve">. One might assume that this essentially solves the trademark issue. </w:t>
      </w:r>
      <w:r>
        <w:rPr>
          <w:b w:val="0"/>
          <w:i w:val="0"/>
          <w:smallCaps w:val="0"/>
          <w:strike w:val="0"/>
          <w:u w:val="none"/>
        </w:rPr>
        <w:t>However, there are two lingering problems that are likely to increase the litigation burden and prevent at least some upcycled or repaired goods from</w:t>
      </w:r>
      <w:r>
        <w:rPr>
          <w:b w:val="0"/>
          <w:i w:val="0"/>
          <w:smallCaps w:val="0"/>
          <w:strike w:val="0"/>
          <w:u w:val="none"/>
        </w:rPr>
        <w:t xml:space="preserve"> entering the market. One is the ambiguity that surrounds the question of what amount of disclosure will retain first-sale rights. And the second is an additional theory of liability called post-sale confusion that does not depend on purchaser confusion. Taken together, they can create significant problems for businesses that support sustainable product renewal.</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