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Shaming won’t stop bullying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Leah Chan </w:t>
      </w:r>
      <w:r>
        <w:rPr>
          <w:b/>
          <w:i w:val="0"/>
          <w:smallCaps w:val="0"/>
          <w:strike w:val="0"/>
          <w:sz w:val="26"/>
          <w:u w:val="none"/>
        </w:rPr>
        <w:t>Grinvald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 * Associate Dean for Academic Affairs and Professor of Law, Suffolk University School of Law.  “Trademark Enforcement and Statutory Incentives”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One downside to over-enforcement may cause the balance of benefits to sway the other way—the potential for shaming by the trademark owner’s consumers or the broader public.121 In these days of over-sharing on social media, it is easy for recipients of abusive </w:t>
      </w:r>
      <w:r>
        <w:rPr>
          <w:b w:val="0"/>
          <w:i w:val="0"/>
          <w:smallCaps w:val="0"/>
          <w:strike w:val="0"/>
          <w:u w:val="none"/>
        </w:rPr>
        <w:t>ceaseand</w:t>
      </w:r>
      <w:r>
        <w:rPr>
          <w:b w:val="0"/>
          <w:i w:val="0"/>
          <w:smallCaps w:val="0"/>
          <w:strike w:val="0"/>
          <w:u w:val="none"/>
        </w:rPr>
        <w:t xml:space="preserve">-desist letters to post them or share that they have received such demands.122 Unfortunately, though, </w:t>
      </w:r>
      <w:r>
        <w:rPr>
          <w:b w:val="0"/>
          <w:i w:val="0"/>
          <w:smallCaps w:val="0"/>
          <w:strike w:val="0"/>
          <w:sz w:val="22"/>
          <w:u w:val="single"/>
        </w:rPr>
        <w:t>the prospect of shaming or being labeled a “#</w:t>
      </w:r>
      <w:r>
        <w:rPr>
          <w:b w:val="0"/>
          <w:i w:val="0"/>
          <w:smallCaps w:val="0"/>
          <w:strike w:val="0"/>
          <w:sz w:val="22"/>
          <w:u w:val="single"/>
        </w:rPr>
        <w:t>trademarkbully</w:t>
      </w:r>
      <w:r>
        <w:rPr>
          <w:b w:val="0"/>
          <w:i w:val="0"/>
          <w:smallCaps w:val="0"/>
          <w:strike w:val="0"/>
          <w:sz w:val="22"/>
          <w:u w:val="single"/>
        </w:rPr>
        <w:t>” does not deter all entities, and additionally, not all shaming is successful</w:t>
      </w:r>
      <w:r>
        <w:rPr>
          <w:b w:val="0"/>
          <w:i w:val="0"/>
          <w:smallCaps w:val="0"/>
          <w:strike w:val="0"/>
          <w:u w:val="none"/>
        </w:rPr>
        <w:t xml:space="preserve">.123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Given that there are no provisions in the Lanham Act that penalize entities for over-enforcing their marks, some entities could </w:t>
      </w:r>
      <w:r>
        <w:rPr>
          <w:b/>
          <w:i w:val="0"/>
          <w:smallCaps w:val="0"/>
          <w:strike w:val="0"/>
          <w:sz w:val="22"/>
          <w:u w:val="single"/>
        </w:rPr>
        <w:t>see only benefits to enforcement</w:t>
      </w:r>
      <w:r>
        <w:rPr>
          <w:b w:val="0"/>
          <w:i w:val="0"/>
          <w:smallCaps w:val="0"/>
          <w:strike w:val="0"/>
          <w:u w:val="none"/>
        </w:rPr>
        <w:t xml:space="preserve">. Post-Romag, these benefits have potentially increased.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