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Ord’s methodology is unworkable and useless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Luke </w:t>
      </w:r>
      <w:r>
        <w:rPr>
          <w:b/>
          <w:i w:val="0"/>
          <w:smallCaps w:val="0"/>
          <w:strike w:val="0"/>
          <w:sz w:val="26"/>
          <w:u w:val="none"/>
        </w:rPr>
        <w:t>Kemp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– Centre for the Study of Existential Risk, University of Cambridge “7. Ecological Breakdown and Human Extinction” in </w:t>
      </w:r>
      <w:r>
        <w:rPr>
          <w:b w:val="0"/>
          <w:i w:val="0"/>
          <w:smallCaps w:val="0"/>
          <w:strike w:val="0"/>
          <w:u w:val="single"/>
        </w:rPr>
        <w:t>The Era of Global Risk</w:t>
      </w:r>
      <w:r>
        <w:rPr>
          <w:b w:val="0"/>
          <w:i w:val="0"/>
          <w:smallCaps w:val="0"/>
          <w:strike w:val="0"/>
          <w:u w:val="none"/>
        </w:rPr>
        <w:t>, https://library.oapen.org/bitstream/handle/20.500.12657/75844/9781800647886.pdf?sequence=1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assessments by</w:t>
      </w:r>
      <w:r>
        <w:rPr>
          <w:b w:val="0"/>
          <w:i w:val="0"/>
          <w:smallCaps w:val="0"/>
          <w:strike w:val="0"/>
          <w:u w:val="none"/>
        </w:rPr>
        <w:t xml:space="preserve"> existential risk scholars—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Ord </w:t>
      </w:r>
      <w:r>
        <w:rPr>
          <w:b w:val="0"/>
          <w:i w:val="0"/>
          <w:smallCaps w:val="0"/>
          <w:strike w:val="0"/>
          <w:u w:val="none"/>
        </w:rPr>
        <w:t xml:space="preserve">and MacAskill— </w:t>
      </w:r>
      <w:r>
        <w:rPr>
          <w:b w:val="0"/>
          <w:i w:val="0"/>
          <w:smallCaps w:val="0"/>
          <w:strike w:val="0"/>
          <w:sz w:val="22"/>
          <w:u w:val="single"/>
        </w:rPr>
        <w:t>have been the least convincing</w:t>
      </w:r>
      <w:r>
        <w:rPr>
          <w:b w:val="0"/>
          <w:i w:val="0"/>
          <w:smallCaps w:val="0"/>
          <w:strike w:val="0"/>
          <w:u w:val="none"/>
        </w:rPr>
        <w:t xml:space="preserve"> thus far. </w:t>
      </w:r>
      <w:r>
        <w:rPr>
          <w:b w:val="0"/>
          <w:i w:val="0"/>
          <w:smallCaps w:val="0"/>
          <w:strike w:val="0"/>
          <w:sz w:val="22"/>
          <w:u w:val="single"/>
        </w:rPr>
        <w:t>Ord uses an unworkable, ambiguous definition of existential risk</w:t>
      </w:r>
      <w:r>
        <w:rPr>
          <w:b w:val="0"/>
          <w:i w:val="0"/>
          <w:smallCaps w:val="0"/>
          <w:strike w:val="0"/>
          <w:u w:val="none"/>
        </w:rPr>
        <w:t xml:space="preserve">.60 </w:t>
      </w:r>
      <w:r>
        <w:rPr>
          <w:b w:val="0"/>
          <w:i w:val="0"/>
          <w:smallCaps w:val="0"/>
          <w:strike w:val="0"/>
          <w:sz w:val="22"/>
          <w:u w:val="single"/>
        </w:rPr>
        <w:t>He defines an existential risk as one that “threatens</w:t>
      </w:r>
      <w:r>
        <w:rPr>
          <w:b w:val="0"/>
          <w:i w:val="0"/>
          <w:smallCaps w:val="0"/>
          <w:strike w:val="0"/>
          <w:u w:val="none"/>
        </w:rPr>
        <w:t xml:space="preserve"> the destruction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humanity’s </w:t>
      </w:r>
      <w:r>
        <w:rPr>
          <w:b w:val="0"/>
          <w:i w:val="0"/>
          <w:smallCaps w:val="0"/>
          <w:strike w:val="0"/>
          <w:sz w:val="22"/>
          <w:u w:val="single"/>
        </w:rPr>
        <w:t>longterm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potential</w:t>
      </w:r>
      <w:r>
        <w:rPr>
          <w:b w:val="0"/>
          <w:i w:val="0"/>
          <w:smallCaps w:val="0"/>
          <w:strike w:val="0"/>
          <w:u w:val="none"/>
        </w:rPr>
        <w:t xml:space="preserve">”. However, what our potential is depends on one’s values. Ord suggests that we </w:t>
      </w:r>
      <w:r>
        <w:rPr>
          <w:b w:val="0"/>
          <w:i w:val="0"/>
          <w:smallCaps w:val="0"/>
          <w:strike w:val="0"/>
          <w:u w:val="none"/>
        </w:rPr>
        <w:t>minimise</w:t>
      </w:r>
      <w:r>
        <w:rPr>
          <w:b w:val="0"/>
          <w:i w:val="0"/>
          <w:smallCaps w:val="0"/>
          <w:strike w:val="0"/>
          <w:u w:val="none"/>
        </w:rPr>
        <w:t xml:space="preserve"> existential risks first and then determine “our potential” through a “Long Reflection”. This would essentially be a </w:t>
      </w:r>
      <w:r>
        <w:rPr>
          <w:b w:val="0"/>
          <w:i w:val="0"/>
          <w:smallCaps w:val="0"/>
          <w:strike w:val="0"/>
          <w:u w:val="none"/>
        </w:rPr>
        <w:t>centuries</w:t>
      </w:r>
      <w:r>
        <w:rPr>
          <w:b w:val="0"/>
          <w:i w:val="0"/>
          <w:smallCaps w:val="0"/>
          <w:strike w:val="0"/>
          <w:u w:val="none"/>
        </w:rPr>
        <w:t xml:space="preserve">-long worldwide philosophical conversation. This strategy creates a paradox: we are supposed to </w:t>
      </w:r>
      <w:r>
        <w:rPr>
          <w:b w:val="0"/>
          <w:i w:val="0"/>
          <w:smallCaps w:val="0"/>
          <w:strike w:val="0"/>
          <w:u w:val="none"/>
        </w:rPr>
        <w:t>minimise</w:t>
      </w:r>
      <w:r>
        <w:rPr>
          <w:b w:val="0"/>
          <w:i w:val="0"/>
          <w:smallCaps w:val="0"/>
          <w:strike w:val="0"/>
          <w:u w:val="none"/>
        </w:rPr>
        <w:t xml:space="preserve"> risks to a concept that we cannot define until after we have reduced those risks. </w:t>
      </w:r>
      <w:r>
        <w:rPr>
          <w:b w:val="0"/>
          <w:i w:val="0"/>
          <w:smallCaps w:val="0"/>
          <w:strike w:val="0"/>
          <w:sz w:val="22"/>
          <w:u w:val="single"/>
        </w:rPr>
        <w:t>It is</w:t>
      </w:r>
      <w:r>
        <w:rPr>
          <w:b w:val="0"/>
          <w:i w:val="0"/>
          <w:smallCaps w:val="0"/>
          <w:strike w:val="0"/>
          <w:u w:val="none"/>
        </w:rPr>
        <w:t xml:space="preserve"> difficult—if not </w:t>
      </w:r>
      <w:r>
        <w:rPr>
          <w:b w:val="0"/>
          <w:i w:val="0"/>
          <w:smallCaps w:val="0"/>
          <w:strike w:val="0"/>
          <w:sz w:val="22"/>
          <w:u w:val="single"/>
        </w:rPr>
        <w:t>impossible— to assess climate change using this definition, as Ord doesn’t explicitly state his values, nor what “our potential” is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His analysis misses much of the most recent science and does not sufficiently consider ‘indirect’ impacts</w:t>
      </w:r>
      <w:r>
        <w:rPr>
          <w:b w:val="0"/>
          <w:i w:val="0"/>
          <w:smallCaps w:val="0"/>
          <w:strike w:val="0"/>
          <w:u w:val="none"/>
        </w:rPr>
        <w:t xml:space="preserve">. Moreover, </w:t>
      </w:r>
      <w:r>
        <w:rPr>
          <w:b w:val="0"/>
          <w:i w:val="0"/>
          <w:smallCaps w:val="0"/>
          <w:strike w:val="0"/>
          <w:sz w:val="22"/>
          <w:u w:val="single"/>
        </w:rPr>
        <w:t>the chapter does not cogently answer the question of whether climate change will result in human extinction</w:t>
      </w:r>
      <w:r>
        <w:rPr>
          <w:b w:val="0"/>
          <w:i w:val="0"/>
          <w:smallCaps w:val="0"/>
          <w:strike w:val="0"/>
          <w:u w:val="none"/>
        </w:rPr>
        <w:t xml:space="preserve">. Instead, after roughly estimating the direct impacts, </w:t>
      </w:r>
      <w:r>
        <w:rPr>
          <w:b w:val="0"/>
          <w:i w:val="0"/>
          <w:smallCaps w:val="0"/>
          <w:strike w:val="0"/>
          <w:sz w:val="22"/>
          <w:u w:val="single"/>
        </w:rPr>
        <w:t>Ord concludes that they will not make the entirety of Earth uninhabitable. This is an entirely different question to the likelihood of climate change causing human extinction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Ord’s use of a precise numerical figure is also</w:t>
      </w:r>
      <w:r>
        <w:rPr>
          <w:b w:val="0"/>
          <w:i w:val="0"/>
          <w:smallCaps w:val="0"/>
          <w:strike w:val="0"/>
          <w:u w:val="none"/>
        </w:rPr>
        <w:t xml:space="preserve"> largely </w:t>
      </w:r>
      <w:r>
        <w:rPr>
          <w:b w:val="0"/>
          <w:i w:val="0"/>
          <w:smallCaps w:val="0"/>
          <w:strike w:val="0"/>
          <w:sz w:val="22"/>
          <w:u w:val="single"/>
        </w:rPr>
        <w:t>baseless</w:t>
      </w:r>
      <w:r>
        <w:rPr>
          <w:b w:val="0"/>
          <w:i w:val="0"/>
          <w:smallCaps w:val="0"/>
          <w:strike w:val="0"/>
          <w:u w:val="none"/>
        </w:rPr>
        <w:t xml:space="preserve">. As noted earlier, </w:t>
      </w:r>
      <w:r>
        <w:rPr>
          <w:b w:val="0"/>
          <w:i w:val="0"/>
          <w:smallCaps w:val="0"/>
          <w:strike w:val="0"/>
          <w:sz w:val="22"/>
          <w:u w:val="single"/>
        </w:rPr>
        <w:t>even groups of the best super-forecasters making predictions on clearly defined questions have little accuracy</w:t>
      </w:r>
      <w:r>
        <w:rPr>
          <w:b w:val="0"/>
          <w:i w:val="0"/>
          <w:smallCaps w:val="0"/>
          <w:strike w:val="0"/>
          <w:u w:val="none"/>
        </w:rPr>
        <w:t xml:space="preserve"> after 12 months.61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