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Increasing criminal enforcement is comparatively better than changing liability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Jonathan </w:t>
      </w:r>
      <w:r>
        <w:rPr>
          <w:b/>
          <w:i w:val="0"/>
          <w:smallCaps w:val="0"/>
          <w:strike w:val="0"/>
          <w:sz w:val="26"/>
          <w:u w:val="none"/>
        </w:rPr>
        <w:t>Berroya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- Senior Vice President and General Counsel, Internet Association. Testimony before the Subcommittee </w:t>
      </w:r>
      <w:r>
        <w:rPr>
          <w:b w:val="0"/>
          <w:i w:val="0"/>
          <w:smallCaps w:val="0"/>
          <w:strike w:val="0"/>
          <w:u w:val="none"/>
        </w:rPr>
        <w:t>On</w:t>
      </w:r>
      <w:r>
        <w:rPr>
          <w:b w:val="0"/>
          <w:i w:val="0"/>
          <w:smallCaps w:val="0"/>
          <w:strike w:val="0"/>
          <w:u w:val="none"/>
        </w:rPr>
        <w:t xml:space="preserve"> Courts, Intellectual Property, and The Internet Judiciary Committee U.S. House of Representatives. The SHOP SAFE Act: Stemming the Rising Tide of Unsafe Counterfeit Products Online. 5/27,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Changing the secondary liability standards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does not address the true cause of counterfeiting—the actual infringer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Although several U.S. agencies have the authority to investigate criminal counterfeiting</w:t>
      </w:r>
      <w:r>
        <w:rPr>
          <w:b w:val="0"/>
          <w:i w:val="0"/>
          <w:smallCaps w:val="0"/>
          <w:strike w:val="0"/>
          <w:u w:val="none"/>
        </w:rPr>
        <w:t xml:space="preserve"> (as noted above),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only 229 counterfeiters were referred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U.S.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Sentencing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Commission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2019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fiscal year. Indeed, the U.S. Sentencing 24 25 Commission reported that counterfeit offenses decreased by 37.4 percent between the Fiscal Year 2015 and Fiscal Year 2019.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 enforcement agencies—not online services—have the expertise and mandate to investigate criminal counterfeiting</w:t>
      </w:r>
      <w:r>
        <w:rPr>
          <w:b w:val="0"/>
          <w:i w:val="0"/>
          <w:smallCaps w:val="0"/>
          <w:strike w:val="0"/>
          <w:u w:val="none"/>
        </w:rPr>
        <w:t xml:space="preserve">. Accordingly, IA respectfully suggests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might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impactful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focus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legislative efforts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increasing resources allocated to agencies that are charged with investigating and enforcing existing laws against the counterfeiters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themselves</w:t>
      </w:r>
      <w:r>
        <w:rPr>
          <w:b w:val="0"/>
          <w:i w:val="0"/>
          <w:smallCaps w:val="0"/>
          <w:strike w:val="0"/>
          <w:u w:val="none"/>
        </w:rPr>
        <w:t xml:space="preserve"> (an effort that IA’s members are already helping with)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 to change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standards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secondary liability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