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 small seller exemption solves the case but avoids the DA – it prevents brands from litigating to control distribution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Responses to questions from Senator Tillis.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Congress also must ensure that sellers that are operating in good faith are not overly burdened by new regulations.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Companies that only have a few employees could be put out of business by improper demands by brand 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whereby legitimate products on sale are reported by brand owners who seek to control the distribution channels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their goods</w:t>
      </w:r>
      <w:r>
        <w:rPr>
          <w:b w:val="0"/>
          <w:i w:val="0"/>
          <w:smallCaps w:val="0"/>
          <w:strike w:val="0"/>
          <w:u w:val="none"/>
        </w:rPr>
        <w:t xml:space="preserve">. As currently written, </w:t>
      </w:r>
      <w:r>
        <w:rPr>
          <w:b w:val="0"/>
          <w:i w:val="0"/>
          <w:smallCaps w:val="0"/>
          <w:strike w:val="0"/>
          <w:sz w:val="22"/>
          <w:u w:val="single"/>
        </w:rPr>
        <w:t>SHOP SAFE would empower brands to erroneously report listings that would eliminate competition and lead to</w:t>
      </w:r>
      <w:r>
        <w:rPr>
          <w:b w:val="0"/>
          <w:i w:val="0"/>
          <w:smallCaps w:val="0"/>
          <w:strike w:val="0"/>
          <w:u w:val="none"/>
        </w:rPr>
        <w:t xml:space="preserve"> fewer choices and </w:t>
      </w:r>
      <w:r>
        <w:rPr>
          <w:b w:val="0"/>
          <w:i w:val="0"/>
          <w:smallCaps w:val="0"/>
          <w:strike w:val="0"/>
          <w:sz w:val="22"/>
          <w:u w:val="single"/>
        </w:rPr>
        <w:t>higher prices</w:t>
      </w:r>
      <w:r>
        <w:rPr>
          <w:b w:val="0"/>
          <w:i w:val="0"/>
          <w:smallCaps w:val="0"/>
          <w:strike w:val="0"/>
          <w:u w:val="none"/>
        </w:rPr>
        <w:t xml:space="preserve"> for consumers.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We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oppose the three-strikes policy that would require covered platforms to permanently ban sellers as especially small businesses should be given opportunities to cure and brand owners should be punished for bad-faith takedown requests</w:t>
      </w:r>
      <w:r>
        <w:rPr>
          <w:b w:val="0"/>
          <w:i w:val="0"/>
          <w:smallCaps w:val="0"/>
          <w:strike w:val="0"/>
          <w:u w:val="none"/>
        </w:rPr>
        <w:t xml:space="preserve">. Instead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SHOP SAFE should include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seller exception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casual sellers and microbusinesses</w:t>
      </w:r>
      <w:r>
        <w:rPr>
          <w:b w:val="0"/>
          <w:i w:val="0"/>
          <w:smallCaps w:val="0"/>
          <w:strike w:val="0"/>
          <w:u w:val="none"/>
        </w:rPr>
        <w:t xml:space="preserve"> and the thresholds in SHOP SAFE should align with thresholds in INFORM for consistency.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