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One-size-fits-all liability reduces small sellers – that restricts competition and raises consumer prices</w:t>
      </w:r>
    </w:p>
    <w:p>
      <w:pPr>
        <w:spacing w:after="80"/>
      </w:pPr>
      <w:r>
        <w:rPr>
          <w:b w:val="0"/>
          <w:i w:val="0"/>
          <w:smallCaps w:val="0"/>
          <w:strike w:val="0"/>
          <w:u w:val="none"/>
        </w:rPr>
        <w:t xml:space="preserve">Yassine </w:t>
      </w:r>
      <w:r>
        <w:rPr>
          <w:b/>
          <w:i w:val="0"/>
          <w:smallCaps w:val="0"/>
          <w:strike w:val="0"/>
          <w:sz w:val="26"/>
          <w:u w:val="none"/>
        </w:rPr>
        <w:t>Lefouili</w:t>
      </w:r>
      <w:r>
        <w:rPr>
          <w:b/>
          <w:i w:val="0"/>
          <w:smallCaps w:val="0"/>
          <w:strike w:val="0"/>
          <w:sz w:val="26"/>
          <w:u w:val="none"/>
        </w:rPr>
        <w:t xml:space="preserve"> and</w:t>
      </w:r>
      <w:r>
        <w:rPr>
          <w:b w:val="0"/>
          <w:i w:val="0"/>
          <w:smallCaps w:val="0"/>
          <w:strike w:val="0"/>
          <w:u w:val="none"/>
        </w:rPr>
        <w:t xml:space="preserve"> Leonardo </w:t>
      </w:r>
      <w:r>
        <w:rPr>
          <w:b/>
          <w:i w:val="0"/>
          <w:smallCaps w:val="0"/>
          <w:strike w:val="0"/>
          <w:sz w:val="26"/>
          <w:u w:val="none"/>
        </w:rPr>
        <w:t>Madio</w:t>
      </w:r>
      <w:r>
        <w:rPr>
          <w:b/>
          <w:i w:val="0"/>
          <w:smallCaps w:val="0"/>
          <w:strike w:val="0"/>
          <w:sz w:val="26"/>
          <w:u w:val="none"/>
        </w:rPr>
        <w:t>,</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*Toulouse School of Economics, University of Toulouse </w:t>
      </w:r>
      <w:r>
        <w:rPr>
          <w:b w:val="0"/>
          <w:i w:val="0"/>
          <w:smallCaps w:val="0"/>
          <w:strike w:val="0"/>
          <w:u w:val="none"/>
        </w:rPr>
        <w:t>Capitole</w:t>
      </w:r>
      <w:r>
        <w:rPr>
          <w:b w:val="0"/>
          <w:i w:val="0"/>
          <w:smallCaps w:val="0"/>
          <w:strike w:val="0"/>
          <w:u w:val="none"/>
        </w:rPr>
        <w:t xml:space="preserve">, Toulouse, France AND **Department of Economics and Management, University of Padua, Padua, Italy “The economics of platform liability” </w:t>
      </w:r>
      <w:r>
        <w:rPr>
          <w:b w:val="0"/>
          <w:i w:val="0"/>
          <w:smallCaps w:val="0"/>
          <w:strike w:val="0"/>
          <w:u w:val="none"/>
        </w:rPr>
        <w:t>Eur</w:t>
      </w:r>
      <w:r>
        <w:rPr>
          <w:b w:val="0"/>
          <w:i w:val="0"/>
          <w:smallCaps w:val="0"/>
          <w:strike w:val="0"/>
          <w:u w:val="none"/>
        </w:rPr>
        <w:t xml:space="preserve"> J Law Econ. 2022; 53(3): 319–351. </w:t>
      </w:r>
      <w:r>
        <w:rPr>
          <w:b w:val="0"/>
          <w:i w:val="0"/>
          <w:smallCaps w:val="0"/>
          <w:strike w:val="0"/>
          <w:u w:val="none"/>
        </w:rPr>
        <w:t xml:space="preserve"> //DH</w:t>
      </w:r>
    </w:p>
    <w:p>
      <w:pPr>
        <w:spacing w:after="60"/>
      </w:pPr>
      <w:r>
        <w:rPr>
          <w:b w:val="0"/>
          <w:i w:val="0"/>
          <w:smallCaps w:val="0"/>
          <w:strike w:val="0"/>
          <w:u w:val="none"/>
        </w:rPr>
        <w:t xml:space="preserve">Some considerations can also be made on the interplay between liability rules and competition. As already discussed, liability regimes impact both the fixed and marginal costs a platform faces to operate in the market. The </w:t>
      </w:r>
      <w:r>
        <w:rPr>
          <w:b w:val="0"/>
          <w:i w:val="0"/>
          <w:smallCaps w:val="0"/>
          <w:strike w:val="0"/>
          <w:sz w:val="22"/>
          <w:u w:val="single"/>
        </w:rPr>
        <w:t>lenient liability regime that online platforms have been subject to in the past years may have helped the existing platforms to grow as well as to become well-equipped and have the financial resources to comply with more stringent liability than entrant platforms</w:t>
      </w:r>
      <w:r>
        <w:rPr>
          <w:b w:val="0"/>
          <w:i w:val="0"/>
          <w:smallCaps w:val="0"/>
          <w:strike w:val="0"/>
          <w:u w:val="none"/>
        </w:rPr>
        <w:t xml:space="preserve">. Thus, </w:t>
      </w:r>
      <w:r>
        <w:rPr>
          <w:b/>
          <w:i w:val="0"/>
          <w:smallCaps w:val="0"/>
          <w:strike w:val="0"/>
          <w:sz w:val="22"/>
          <w:highlight w:val="cyan"/>
          <w:u w:val="single"/>
        </w:rPr>
        <w:t>a more stringent one-size-fits-all liability regime</w:t>
      </w:r>
      <w:r>
        <w:rPr>
          <w:b w:val="0"/>
          <w:i w:val="0"/>
          <w:smallCaps w:val="0"/>
          <w:strike w:val="0"/>
          <w:highlight w:val="cyan"/>
          <w:u w:val="none"/>
        </w:rPr>
        <w:t xml:space="preserve"> </w:t>
      </w:r>
      <w:r>
        <w:rPr>
          <w:b w:val="0"/>
          <w:i w:val="0"/>
          <w:smallCaps w:val="0"/>
          <w:strike w:val="0"/>
          <w:sz w:val="22"/>
          <w:highlight w:val="cyan"/>
          <w:u w:val="single"/>
        </w:rPr>
        <w:t>for platforms might further amplify asymmetries in the marke</w:t>
      </w:r>
      <w:r>
        <w:rPr>
          <w:b w:val="0"/>
          <w:i w:val="0"/>
          <w:smallCaps w:val="0"/>
          <w:strike w:val="0"/>
          <w:sz w:val="22"/>
          <w:u w:val="single"/>
        </w:rPr>
        <w:t>t</w:t>
      </w:r>
      <w:r>
        <w:rPr>
          <w:b w:val="0"/>
          <w:i w:val="0"/>
          <w:smallCaps w:val="0"/>
          <w:strike w:val="0"/>
          <w:u w:val="none"/>
        </w:rPr>
        <w:t xml:space="preserve">.36 To see why, consider a competitive environment in which a big incumbent platform faces smaller potential entrants. </w:t>
      </w:r>
      <w:r>
        <w:rPr>
          <w:b w:val="0"/>
          <w:i w:val="0"/>
          <w:smallCaps w:val="0"/>
          <w:strike w:val="0"/>
          <w:sz w:val="22"/>
          <w:u w:val="single"/>
        </w:rPr>
        <w:t xml:space="preserve">A stringent </w:t>
      </w:r>
      <w:r>
        <w:rPr>
          <w:b w:val="0"/>
          <w:i w:val="0"/>
          <w:smallCaps w:val="0"/>
          <w:strike w:val="0"/>
          <w:sz w:val="22"/>
          <w:highlight w:val="cyan"/>
          <w:u w:val="single"/>
        </w:rPr>
        <w:t>one-size-fits-all liability regime increases the cost of entry and may result in the potential entrants deciding to stay out of the market</w:t>
      </w:r>
      <w:r>
        <w:rPr>
          <w:b w:val="0"/>
          <w:i w:val="0"/>
          <w:smallCaps w:val="0"/>
          <w:strike w:val="0"/>
          <w:sz w:val="22"/>
          <w:u w:val="single"/>
        </w:rPr>
        <w:t>, which would benefit the incumbent platform</w:t>
      </w:r>
      <w:r>
        <w:rPr>
          <w:b w:val="0"/>
          <w:i w:val="0"/>
          <w:smallCaps w:val="0"/>
          <w:strike w:val="0"/>
          <w:u w:val="none"/>
        </w:rPr>
        <w:t xml:space="preserve">. Of course, this platform will also suffer from higher liability costs but this negative effect on its profit may well be outweighed by the positive effect resulting from the increase in entry barriers. </w:t>
      </w:r>
      <w:r>
        <w:rPr>
          <w:b w:val="0"/>
          <w:i w:val="0"/>
          <w:smallCaps w:val="0"/>
          <w:strike w:val="0"/>
          <w:sz w:val="22"/>
          <w:highlight w:val="cyan"/>
          <w:u w:val="single"/>
        </w:rPr>
        <w:t>This is to the detriment of market participants, who may face higher prices</w:t>
      </w:r>
      <w:r>
        <w:rPr>
          <w:b w:val="0"/>
          <w:i w:val="0"/>
          <w:smallCaps w:val="0"/>
          <w:strike w:val="0"/>
          <w:sz w:val="22"/>
          <w:u w:val="single"/>
        </w:rPr>
        <w:t xml:space="preserve"> and fewer choices</w:t>
      </w:r>
      <w:r>
        <w:rPr>
          <w:b w:val="0"/>
          <w:i w:val="0"/>
          <w:smallCaps w:val="0"/>
          <w:strike w:val="0"/>
          <w:u w:val="none"/>
        </w:rPr>
        <w:t>. An interesting analogy can be drawn with the implementation of the General Data Protection Regulation (GDPR) which may have helped big tech giants (</w:t>
      </w:r>
      <w:r>
        <w:rPr>
          <w:b w:val="0"/>
          <w:i w:val="0"/>
          <w:smallCaps w:val="0"/>
          <w:strike w:val="0"/>
          <w:u w:val="none"/>
        </w:rPr>
        <w:t>Batikas</w:t>
      </w:r>
      <w:r>
        <w:rPr>
          <w:b w:val="0"/>
          <w:i w:val="0"/>
          <w:smallCaps w:val="0"/>
          <w:strike w:val="0"/>
          <w:u w:val="none"/>
        </w:rPr>
        <w:t xml:space="preserve"> et al., 2021; Gal &amp; Aviv, 2020; Johnson et al., 2020).</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