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plan’s extraterritorial because it applies to e-commerce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Kari </w:t>
      </w:r>
      <w:r>
        <w:rPr>
          <w:b/>
          <w:i w:val="0"/>
          <w:smallCaps w:val="0"/>
          <w:strike w:val="0"/>
          <w:sz w:val="26"/>
          <w:u w:val="none"/>
        </w:rPr>
        <w:t>Kammel</w:t>
      </w:r>
      <w:r>
        <w:rPr>
          <w:b w:val="0"/>
          <w:i w:val="0"/>
          <w:smallCaps w:val="0"/>
          <w:strike w:val="0"/>
          <w:u w:val="none"/>
        </w:rPr>
        <w:t>, et al,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Director of the Center for Anti-Counterfeiting and Product Protection at Michigan State University and an adjunct professor of law at MSU College of </w:t>
      </w:r>
      <w:r>
        <w:rPr>
          <w:b w:val="0"/>
          <w:i w:val="0"/>
          <w:smallCaps w:val="0"/>
          <w:strike w:val="0"/>
          <w:u w:val="none"/>
        </w:rPr>
        <w:t>Law“</w:t>
      </w:r>
      <w:r>
        <w:rPr>
          <w:b w:val="0"/>
          <w:i w:val="0"/>
          <w:smallCaps w:val="0"/>
          <w:strike w:val="0"/>
          <w:u w:val="none"/>
        </w:rPr>
        <w:t>Trademark</w:t>
      </w:r>
      <w:r>
        <w:rPr>
          <w:b w:val="0"/>
          <w:i w:val="0"/>
          <w:smallCaps w:val="0"/>
          <w:strike w:val="0"/>
          <w:u w:val="none"/>
        </w:rPr>
        <w:t xml:space="preserve"> Counterfeiting Enforcement Beyond Borders: The Complexities of Enforcing Trademark Rights Extraterritorially in a Global Marketplace with Territorial-Based Enforcement,” 33 Fordham </w:t>
      </w:r>
      <w:r>
        <w:rPr>
          <w:b w:val="0"/>
          <w:i w:val="0"/>
          <w:smallCaps w:val="0"/>
          <w:strike w:val="0"/>
          <w:u w:val="none"/>
        </w:rPr>
        <w:t>Intell</w:t>
      </w:r>
      <w:r>
        <w:rPr>
          <w:b w:val="0"/>
          <w:i w:val="0"/>
          <w:smallCaps w:val="0"/>
          <w:strike w:val="0"/>
          <w:u w:val="none"/>
        </w:rPr>
        <w:t xml:space="preserve">. Prop. Media &amp; Ent. L.J. 595 (2023). </w:t>
      </w:r>
      <w:r>
        <w:rPr>
          <w:b w:val="0"/>
          <w:i w:val="0"/>
          <w:smallCaps w:val="0"/>
          <w:strike w:val="0"/>
          <w:u w:val="none"/>
        </w:rPr>
        <w:t>https://ir.lawnet.fordham.edu/iplj/vol33/iss3/3  /</w:t>
      </w:r>
      <w:r>
        <w:rPr>
          <w:b w:val="0"/>
          <w:i w:val="0"/>
          <w:smallCaps w:val="0"/>
          <w:strike w:val="0"/>
          <w:u w:val="none"/>
        </w:rPr>
        <w:t>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Despite the seemingly territorial nature of trademarks, the sale of trademarked goods on e-commerce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social media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exponentially increased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amount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cross-border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transactions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therefore</w:t>
      </w:r>
      <w:r>
        <w:rPr>
          <w:b w:val="0"/>
          <w:i w:val="0"/>
          <w:smallCaps w:val="0"/>
          <w:strike w:val="0"/>
          <w:u w:val="none"/>
        </w:rPr>
        <w:t xml:space="preserve"> also the amount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infringing goods sold online across multiple jurisdictions</w:t>
      </w:r>
      <w:r>
        <w:rPr>
          <w:b w:val="0"/>
          <w:i w:val="0"/>
          <w:smallCaps w:val="0"/>
          <w:strike w:val="0"/>
          <w:u w:val="none"/>
        </w:rPr>
        <w:t xml:space="preserve">. Because infringers can reach potential consumers of goods and services anywhere in the world, </w:t>
      </w:r>
      <w:r>
        <w:rPr>
          <w:b w:val="0"/>
          <w:i w:val="0"/>
          <w:smallCaps w:val="0"/>
          <w:strike w:val="0"/>
          <w:sz w:val="22"/>
          <w:u w:val="single"/>
        </w:rPr>
        <w:t>a tension now exists between the territorial nature of a trademark and the global nature of the potential consumer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basis for extraterritorial reach is</w:t>
      </w:r>
      <w:r>
        <w:rPr>
          <w:b w:val="0"/>
          <w:i w:val="0"/>
          <w:smallCaps w:val="0"/>
          <w:strike w:val="0"/>
          <w:u w:val="none"/>
        </w:rPr>
        <w:t xml:space="preserve"> mainly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either prevent spillovers from extraterritorial activities into the local market (inbound regulation) or to protect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enforce the interests of the rightsholders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other territories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 implementing the local IP regime</w:t>
      </w:r>
      <w:r>
        <w:rPr>
          <w:b w:val="0"/>
          <w:i w:val="0"/>
          <w:smallCaps w:val="0"/>
          <w:strike w:val="0"/>
          <w:u w:val="none"/>
        </w:rPr>
        <w:t xml:space="preserve"> (outbound regulation).”19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