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Domestic means the plan can only apply to </w:t>
      </w:r>
      <w:r>
        <w:rPr>
          <w:b/>
          <w:i w:val="0"/>
          <w:smallCaps w:val="0"/>
          <w:strike w:val="0"/>
          <w:sz w:val="26"/>
          <w:u w:val="single"/>
        </w:rPr>
        <w:t>actual</w:t>
      </w:r>
      <w:r>
        <w:rPr>
          <w:b/>
          <w:i w:val="0"/>
          <w:smallCaps w:val="0"/>
          <w:strike w:val="0"/>
          <w:sz w:val="26"/>
          <w:u w:val="none"/>
        </w:rPr>
        <w:t xml:space="preserve"> harm in US commerce – a broader interpretation is unpredictable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JEFFREY A. </w:t>
      </w:r>
      <w:r>
        <w:rPr>
          <w:b/>
          <w:i w:val="0"/>
          <w:smallCaps w:val="0"/>
          <w:strike w:val="0"/>
          <w:sz w:val="26"/>
          <w:u w:val="none"/>
        </w:rPr>
        <w:t>LAMKEN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22</w:t>
      </w:r>
      <w:r>
        <w:rPr>
          <w:b w:val="0"/>
          <w:i w:val="0"/>
          <w:smallCaps w:val="0"/>
          <w:strike w:val="0"/>
          <w:u w:val="none"/>
        </w:rPr>
        <w:t xml:space="preserve"> – Counsel of Record for Arbitron. Brief for Petitioners in the case ABITRON AUSTRIA GMBH, ET AL.</w:t>
      </w:r>
      <w:r>
        <w:rPr>
          <w:b w:val="0"/>
          <w:i w:val="0"/>
          <w:smallCaps w:val="0"/>
          <w:strike w:val="0"/>
          <w:u w:val="none"/>
        </w:rPr>
        <w:t>,  Petitioners</w:t>
      </w:r>
      <w:r>
        <w:rPr>
          <w:b w:val="0"/>
          <w:i w:val="0"/>
          <w:smallCaps w:val="0"/>
          <w:strike w:val="0"/>
          <w:u w:val="none"/>
        </w:rPr>
        <w:t xml:space="preserve">, v. HETRONIC INTERNATIONAL, INC. Respondent.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II.A-B. 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government</w:t>
      </w:r>
      <w:r>
        <w:rPr>
          <w:b w:val="0"/>
          <w:i w:val="0"/>
          <w:smallCaps w:val="0"/>
          <w:strike w:val="0"/>
          <w:u w:val="none"/>
        </w:rPr>
        <w:t xml:space="preserve"> agrees the Lanham Act does not apply extraterritorially.  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suggests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applying the Act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foreign sale represents a “domestic” application if the “effect” of that sale might be U.S. consumer confusion</w:t>
      </w:r>
      <w:r>
        <w:rPr>
          <w:b w:val="0"/>
          <w:i w:val="0"/>
          <w:smallCaps w:val="0"/>
          <w:strike w:val="0"/>
          <w:u w:val="none"/>
        </w:rPr>
        <w:t xml:space="preserve">. 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argument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u w:val="none"/>
        </w:rPr>
        <w:t xml:space="preserve"> waived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without merit.</w:t>
      </w:r>
      <w:r>
        <w:rPr>
          <w:b w:val="0"/>
          <w:i w:val="0"/>
          <w:smallCaps w:val="0"/>
          <w:strike w:val="0"/>
          <w:u w:val="none"/>
        </w:rPr>
        <w:t xml:space="preserve"> 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Lanham Act requires “use in commerce.” 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Because the Act’s definition of “commerce” does not extend to foreign conduct, the “use in commerce” must be </w:t>
      </w:r>
      <w:r>
        <w:rPr>
          <w:b w:val="0"/>
          <w:i/>
          <w:smallCaps w:val="0"/>
          <w:strike w:val="0"/>
          <w:sz w:val="22"/>
          <w:highlight w:val="cyan"/>
          <w:u w:val="single"/>
        </w:rPr>
        <w:t>in the U</w:t>
      </w:r>
      <w:r>
        <w:rPr>
          <w:b w:val="0"/>
          <w:i/>
          <w:smallCaps w:val="0"/>
          <w:strike w:val="0"/>
          <w:u w:val="none"/>
        </w:rPr>
        <w:t xml:space="preserve">nited </w:t>
      </w:r>
      <w:r>
        <w:rPr>
          <w:b w:val="0"/>
          <w:i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/>
          <w:smallCaps w:val="0"/>
          <w:strike w:val="0"/>
          <w:u w:val="none"/>
        </w:rPr>
        <w:t>tates.</w:t>
      </w:r>
      <w:r>
        <w:rPr>
          <w:b w:val="0"/>
          <w:i w:val="0"/>
          <w:smallCaps w:val="0"/>
          <w:strike w:val="0"/>
          <w:u w:val="none"/>
        </w:rPr>
        <w:t xml:space="preserve">  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Likewise, the Act’s text and structure make clear that its “focus” is trademarks’ “use in commerce.”  It is that “use” that must be domestic. 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government suggests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the statute’s “focus” is consumer confusion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such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Act is applied “domestically” to foreign conduct if that conduct has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potential “effect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” of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confusing</w:t>
      </w:r>
      <w:r>
        <w:rPr>
          <w:b w:val="0"/>
          <w:i w:val="0"/>
          <w:smallCaps w:val="0"/>
          <w:strike w:val="0"/>
          <w:u w:val="none"/>
        </w:rPr>
        <w:t xml:space="preserve"> U.S.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consumers.  But extraterritoriality is</w:t>
      </w:r>
      <w:r>
        <w:rPr>
          <w:b w:val="0"/>
          <w:i w:val="0"/>
          <w:smallCaps w:val="0"/>
          <w:strike w:val="0"/>
          <w:u w:val="none"/>
        </w:rPr>
        <w:t xml:space="preserve"> primarily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concerned with </w:t>
      </w:r>
      <w:r>
        <w:rPr>
          <w:b w:val="0"/>
          <w:i/>
          <w:smallCaps w:val="0"/>
          <w:strike w:val="0"/>
          <w:sz w:val="22"/>
          <w:highlight w:val="cyan"/>
          <w:u w:val="single"/>
        </w:rPr>
        <w:t>conduct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, not </w:t>
      </w:r>
      <w:r>
        <w:rPr>
          <w:b/>
          <w:i/>
          <w:smallCaps w:val="0"/>
          <w:strike w:val="0"/>
          <w:sz w:val="22"/>
          <w:highlight w:val="cyan"/>
          <w:u w:val="single"/>
        </w:rPr>
        <w:t>effects</w:t>
      </w:r>
      <w:r>
        <w:rPr>
          <w:b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 The government’s standard is a test for determining when an </w:t>
      </w:r>
      <w:r>
        <w:rPr>
          <w:b w:val="0"/>
          <w:i/>
          <w:smallCaps w:val="0"/>
          <w:strike w:val="0"/>
          <w:u w:val="none"/>
        </w:rPr>
        <w:t>extraterritorial law</w:t>
      </w:r>
      <w:r>
        <w:rPr>
          <w:b w:val="0"/>
          <w:i w:val="0"/>
          <w:smallCaps w:val="0"/>
          <w:strike w:val="0"/>
          <w:u w:val="none"/>
        </w:rPr>
        <w:t xml:space="preserve"> should cover foreign conduct—not distinguishing extraterritorial from domestic application. 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government’s test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gives the statutory term “use in commerce” inconsistent meanings.  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unpredictable</w:t>
      </w:r>
      <w:r>
        <w:rPr>
          <w:b w:val="0"/>
          <w:i w:val="0"/>
          <w:smallCaps w:val="0"/>
          <w:strike w:val="0"/>
          <w:u w:val="none"/>
        </w:rPr>
        <w:t xml:space="preserve">, threatens international friction, and serves little practical purpose. 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III.A. 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u w:val="none"/>
        </w:rPr>
        <w:t xml:space="preserve">Tenth Circuit’s diversion-of-foreign-sales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theory—that the Lanham Act applies extraterritorially whenever </w:t>
      </w:r>
      <w:r>
        <w:rPr>
          <w:b w:val="0"/>
          <w:i/>
          <w:smallCaps w:val="0"/>
          <w:strike w:val="0"/>
          <w:sz w:val="22"/>
          <w:u w:val="single"/>
        </w:rPr>
        <w:t>U.S.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plaintiffs claim lost </w:t>
      </w:r>
      <w:r>
        <w:rPr>
          <w:b w:val="0"/>
          <w:i/>
          <w:smallCaps w:val="0"/>
          <w:strike w:val="0"/>
          <w:sz w:val="22"/>
          <w:u w:val="single"/>
        </w:rPr>
        <w:t>foreign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sales—distorts the Act beyond recognition</w:t>
      </w:r>
      <w:r>
        <w:rPr>
          <w:b w:val="0"/>
          <w:i w:val="0"/>
          <w:smallCaps w:val="0"/>
          <w:strike w:val="0"/>
          <w:u w:val="none"/>
        </w:rPr>
        <w:t xml:space="preserve">.  It is divorced from statutory text; exceeds the commerce power; and would impose a protectionist regime in breach of treaty obligations. 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