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If the plan is only domestic, it can’t solve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Kari </w:t>
      </w:r>
      <w:r>
        <w:rPr>
          <w:b/>
          <w:i w:val="0"/>
          <w:smallCaps w:val="0"/>
          <w:strike w:val="0"/>
          <w:sz w:val="26"/>
          <w:u w:val="none"/>
        </w:rPr>
        <w:t>Kammel</w:t>
      </w:r>
      <w:r>
        <w:rPr>
          <w:b w:val="0"/>
          <w:i w:val="0"/>
          <w:smallCaps w:val="0"/>
          <w:strike w:val="0"/>
          <w:u w:val="none"/>
        </w:rPr>
        <w:t>, et al,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– Director of the Center for Anti-Counterfeiting and Product Protection at Michigan State University and an adjunct professor of law at MSU College of </w:t>
      </w:r>
      <w:r>
        <w:rPr>
          <w:b w:val="0"/>
          <w:i w:val="0"/>
          <w:smallCaps w:val="0"/>
          <w:strike w:val="0"/>
          <w:u w:val="none"/>
        </w:rPr>
        <w:t>Law“</w:t>
      </w:r>
      <w:r>
        <w:rPr>
          <w:b w:val="0"/>
          <w:i w:val="0"/>
          <w:smallCaps w:val="0"/>
          <w:strike w:val="0"/>
          <w:u w:val="none"/>
        </w:rPr>
        <w:t>Trademark</w:t>
      </w:r>
      <w:r>
        <w:rPr>
          <w:b w:val="0"/>
          <w:i w:val="0"/>
          <w:smallCaps w:val="0"/>
          <w:strike w:val="0"/>
          <w:u w:val="none"/>
        </w:rPr>
        <w:t xml:space="preserve"> Counterfeiting Enforcement Beyond Borders: The Complexities of Enforcing Trademark Rights Extraterritorially in a Global Marketplace with Territorial-Based Enforcement,” 33 Fordham </w:t>
      </w:r>
      <w:r>
        <w:rPr>
          <w:b w:val="0"/>
          <w:i w:val="0"/>
          <w:smallCaps w:val="0"/>
          <w:strike w:val="0"/>
          <w:u w:val="none"/>
        </w:rPr>
        <w:t>Intell</w:t>
      </w:r>
      <w:r>
        <w:rPr>
          <w:b w:val="0"/>
          <w:i w:val="0"/>
          <w:smallCaps w:val="0"/>
          <w:strike w:val="0"/>
          <w:u w:val="none"/>
        </w:rPr>
        <w:t xml:space="preserve">. Prop. Media &amp; Ent. L.J. 595 (2023). </w:t>
      </w:r>
      <w:r>
        <w:rPr>
          <w:b w:val="0"/>
          <w:i w:val="0"/>
          <w:smallCaps w:val="0"/>
          <w:strike w:val="0"/>
          <w:u w:val="none"/>
        </w:rPr>
        <w:t>https://ir.lawnet.fordham.edu/iplj/vol33/iss3/3  /</w:t>
      </w:r>
      <w:r>
        <w:rPr>
          <w:b w:val="0"/>
          <w:i w:val="0"/>
          <w:smallCaps w:val="0"/>
          <w:strike w:val="0"/>
          <w:u w:val="none"/>
        </w:rPr>
        <w:t>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Despite the existence of these treaties, </w:t>
      </w:r>
      <w:r>
        <w:rPr>
          <w:b w:val="0"/>
          <w:i w:val="0"/>
          <w:smallCaps w:val="0"/>
          <w:strike w:val="0"/>
          <w:sz w:val="22"/>
          <w:u w:val="single"/>
        </w:rPr>
        <w:t>trademark enforcement still lacks a harmonious global approach</w:t>
      </w:r>
      <w:r>
        <w:rPr>
          <w:b w:val="0"/>
          <w:i w:val="0"/>
          <w:smallCaps w:val="0"/>
          <w:strike w:val="0"/>
          <w:u w:val="none"/>
        </w:rPr>
        <w:t xml:space="preserve">.45 The </w:t>
      </w:r>
      <w:r>
        <w:rPr>
          <w:b w:val="0"/>
          <w:i w:val="0"/>
          <w:smallCaps w:val="0"/>
          <w:strike w:val="0"/>
          <w:sz w:val="22"/>
          <w:u w:val="single"/>
        </w:rPr>
        <w:t>treaties rely on national courts to manage trademark litigation domestically</w:t>
      </w:r>
      <w:r>
        <w:rPr>
          <w:b w:val="0"/>
          <w:i w:val="0"/>
          <w:smallCaps w:val="0"/>
          <w:strike w:val="0"/>
          <w:u w:val="none"/>
        </w:rPr>
        <w:t xml:space="preserve">.46 Countries have introduced new laws that directly address various trademark issues.47 However,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purely national approach cannot solve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what is an international issue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 the extraterritorial reach of some jurisdictions is not expanded,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infringers will go unpunished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both trademark holders and consumers will be harme</w:t>
      </w:r>
      <w:r>
        <w:rPr>
          <w:b w:val="0"/>
          <w:i w:val="0"/>
          <w:smallCaps w:val="0"/>
          <w:strike w:val="0"/>
          <w:u w:val="none"/>
        </w:rPr>
        <w:t xml:space="preserve">d. But merely extending the extraterritoriality of domestic jurisdiction will have detrimental effects on the trademark holders and raise further questions about which body enforces the law. 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