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Structural biases. They </w:t>
      </w:r>
      <w:r>
        <w:rPr>
          <w:b/>
          <w:i w:val="0"/>
          <w:smallCaps w:val="0"/>
          <w:strike w:val="0"/>
          <w:sz w:val="26"/>
          <w:u w:val="single"/>
        </w:rPr>
        <w:t>deck</w:t>
      </w:r>
      <w:r>
        <w:rPr>
          <w:b/>
          <w:i w:val="0"/>
          <w:smallCaps w:val="0"/>
          <w:strike w:val="0"/>
          <w:sz w:val="26"/>
          <w:u w:val="none"/>
        </w:rPr>
        <w:t xml:space="preserve"> the office’s </w:t>
      </w:r>
      <w:r>
        <w:rPr>
          <w:b/>
          <w:i w:val="0"/>
          <w:smallCaps w:val="0"/>
          <w:strike w:val="0"/>
          <w:sz w:val="26"/>
          <w:u w:val="single"/>
        </w:rPr>
        <w:t>credibility</w:t>
      </w:r>
      <w:r>
        <w:rPr>
          <w:b/>
          <w:i w:val="0"/>
          <w:smallCaps w:val="0"/>
          <w:strike w:val="0"/>
          <w:sz w:val="26"/>
          <w:u w:val="none"/>
        </w:rPr>
        <w:t xml:space="preserve"> absent oversight.</w:t>
      </w:r>
    </w:p>
    <w:p>
      <w:pPr>
        <w:spacing w:after="80"/>
      </w:pPr>
      <w:r>
        <w:rPr>
          <w:b w:val="0"/>
          <w:i w:val="0"/>
          <w:smallCaps w:val="0"/>
          <w:strike w:val="0"/>
          <w:u w:val="none"/>
        </w:rPr>
        <w:t xml:space="preserve">Aaron </w:t>
      </w:r>
      <w:r>
        <w:rPr>
          <w:b/>
          <w:i w:val="0"/>
          <w:smallCaps w:val="0"/>
          <w:strike w:val="0"/>
          <w:sz w:val="26"/>
          <w:u w:val="none"/>
        </w:rPr>
        <w:t>Perzanowski 18</w:t>
      </w:r>
      <w:r>
        <w:rPr>
          <w:b w:val="0"/>
          <w:i w:val="0"/>
          <w:smallCaps w:val="0"/>
          <w:strike w:val="0"/>
          <w:u w:val="none"/>
        </w:rPr>
        <w:t xml:space="preserve">, professor of law at Case Western Reserve University, 10/26/2018, “The Limits of Copyright Office Expertise,” </w:t>
      </w:r>
      <w:r>
        <w:rPr>
          <w:b w:val="0"/>
          <w:i w:val="0"/>
          <w:smallCaps w:val="0"/>
          <w:strike w:val="0"/>
          <w:u w:val="none"/>
        </w:rPr>
        <w:t>https://scholarlycommons.law.case.edu/cgi/viewcontent.cgi?article=3051&amp;context=faculty_publications</w:t>
      </w:r>
      <w:r>
        <w:rPr>
          <w:b w:val="0"/>
          <w:i w:val="0"/>
          <w:smallCaps w:val="0"/>
          <w:strike w:val="0"/>
          <w:u w:val="none"/>
        </w:rPr>
        <w:t xml:space="preserve">, </w:t>
      </w:r>
      <w:r>
        <w:rPr>
          <w:b w:val="0"/>
          <w:i w:val="0"/>
          <w:smallCaps w:val="0"/>
          <w:strike w:val="0"/>
          <w:u w:val="none"/>
        </w:rPr>
        <w:t>ajs</w:t>
      </w:r>
    </w:p>
    <w:p>
      <w:pPr>
        <w:spacing w:after="60"/>
      </w:pPr>
      <w:r>
        <w:rPr>
          <w:b w:val="0"/>
          <w:i w:val="0"/>
          <w:smallCaps w:val="0"/>
          <w:strike w:val="0"/>
          <w:u w:val="single"/>
        </w:rPr>
        <w:t xml:space="preserve">Even when the Office does hear from the public, </w:t>
      </w:r>
      <w:r>
        <w:rPr>
          <w:b/>
          <w:i w:val="0"/>
          <w:smallCaps w:val="0"/>
          <w:strike w:val="0"/>
          <w:sz w:val="22"/>
          <w:u w:val="single"/>
        </w:rPr>
        <w:t>structural biases</w:t>
      </w:r>
      <w:r>
        <w:rPr>
          <w:b w:val="0"/>
          <w:i w:val="0"/>
          <w:smallCaps w:val="0"/>
          <w:strike w:val="0"/>
          <w:sz w:val="16"/>
          <w:u w:val="none"/>
        </w:rPr>
        <w:t xml:space="preserve"> tend to </w:t>
      </w:r>
      <w:r>
        <w:rPr>
          <w:b w:val="0"/>
          <w:i w:val="0"/>
          <w:smallCaps w:val="0"/>
          <w:strike w:val="0"/>
          <w:u w:val="single"/>
        </w:rPr>
        <w:t>favor</w:t>
      </w:r>
      <w:r>
        <w:rPr>
          <w:b w:val="0"/>
          <w:i w:val="0"/>
          <w:smallCaps w:val="0"/>
          <w:strike w:val="0"/>
          <w:sz w:val="16"/>
          <w:u w:val="none"/>
        </w:rPr>
        <w:t xml:space="preserve"> the perspective of </w:t>
      </w:r>
      <w:r>
        <w:rPr>
          <w:b w:val="0"/>
          <w:i w:val="0"/>
          <w:smallCaps w:val="0"/>
          <w:strike w:val="0"/>
          <w:u w:val="single"/>
        </w:rPr>
        <w:t>rights holders</w:t>
      </w:r>
      <w:r>
        <w:rPr>
          <w:b w:val="0"/>
          <w:i w:val="0"/>
          <w:smallCaps w:val="0"/>
          <w:strike w:val="0"/>
          <w:sz w:val="16"/>
          <w:u w:val="none"/>
        </w:rPr>
        <w:t xml:space="preserve">. In an interview with the American Bar Association, </w:t>
      </w:r>
      <w:r>
        <w:rPr>
          <w:b w:val="0"/>
          <w:i w:val="0"/>
          <w:smallCaps w:val="0"/>
          <w:strike w:val="0"/>
          <w:u w:val="single"/>
        </w:rPr>
        <w:t>former Register</w:t>
      </w:r>
      <w:r>
        <w:rPr>
          <w:b w:val="0"/>
          <w:i w:val="0"/>
          <w:smallCaps w:val="0"/>
          <w:strike w:val="0"/>
          <w:sz w:val="16"/>
          <w:u w:val="none"/>
        </w:rPr>
        <w:t xml:space="preserve"> Pallante </w:t>
      </w:r>
      <w:r>
        <w:rPr>
          <w:b w:val="0"/>
          <w:i w:val="0"/>
          <w:smallCaps w:val="0"/>
          <w:strike w:val="0"/>
          <w:u w:val="single"/>
        </w:rPr>
        <w:t>revealed</w:t>
      </w:r>
      <w:r>
        <w:rPr>
          <w:b w:val="0"/>
          <w:i w:val="0"/>
          <w:smallCaps w:val="0"/>
          <w:strike w:val="0"/>
          <w:sz w:val="16"/>
          <w:u w:val="none"/>
        </w:rPr>
        <w:t xml:space="preserve"> her </w:t>
      </w:r>
      <w:r>
        <w:rPr>
          <w:b/>
          <w:i w:val="0"/>
          <w:smallCaps w:val="0"/>
          <w:strike w:val="0"/>
          <w:sz w:val="22"/>
          <w:u w:val="single"/>
        </w:rPr>
        <w:t>fundamental misunderstanding</w:t>
      </w:r>
      <w:r>
        <w:rPr>
          <w:b w:val="0"/>
          <w:i w:val="0"/>
          <w:smallCaps w:val="0"/>
          <w:strike w:val="0"/>
          <w:u w:val="single"/>
        </w:rPr>
        <w:t xml:space="preserve"> of</w:t>
      </w:r>
      <w:r>
        <w:rPr>
          <w:b w:val="0"/>
          <w:i w:val="0"/>
          <w:smallCaps w:val="0"/>
          <w:strike w:val="0"/>
          <w:sz w:val="16"/>
          <w:u w:val="none"/>
        </w:rPr>
        <w:t xml:space="preserve"> our copyright system and </w:t>
      </w:r>
      <w:r>
        <w:rPr>
          <w:b w:val="0"/>
          <w:i w:val="0"/>
          <w:smallCaps w:val="0"/>
          <w:strike w:val="0"/>
          <w:u w:val="single"/>
        </w:rPr>
        <w:t xml:space="preserve">the Office’s </w:t>
      </w:r>
      <w:r>
        <w:rPr>
          <w:b/>
          <w:i w:val="0"/>
          <w:smallCaps w:val="0"/>
          <w:strike w:val="0"/>
          <w:sz w:val="22"/>
          <w:u w:val="single"/>
        </w:rPr>
        <w:t>role</w:t>
      </w:r>
      <w:r>
        <w:rPr>
          <w:b w:val="0"/>
          <w:i w:val="0"/>
          <w:smallCaps w:val="0"/>
          <w:strike w:val="0"/>
          <w:sz w:val="16"/>
          <w:u w:val="none"/>
        </w:rPr>
        <w:t xml:space="preserve"> within it. As she put it, “Copyright is for the author first and the nation second.”257 While it would be a mistake to attribute this constitutionally flawed view to the Office as a whole, </w:t>
      </w:r>
      <w:r>
        <w:rPr>
          <w:b w:val="0"/>
          <w:i w:val="0"/>
          <w:smallCaps w:val="0"/>
          <w:strike w:val="0"/>
          <w:u w:val="single"/>
        </w:rPr>
        <w:t>it is suggestive of</w:t>
      </w:r>
      <w:r>
        <w:rPr>
          <w:b w:val="0"/>
          <w:i w:val="0"/>
          <w:smallCaps w:val="0"/>
          <w:strike w:val="0"/>
          <w:sz w:val="16"/>
          <w:u w:val="none"/>
        </w:rPr>
        <w:t xml:space="preserve"> the </w:t>
      </w:r>
      <w:r>
        <w:rPr>
          <w:b w:val="0"/>
          <w:i w:val="0"/>
          <w:smallCaps w:val="0"/>
          <w:strike w:val="0"/>
          <w:u w:val="single"/>
        </w:rPr>
        <w:t>Office’s</w:t>
      </w:r>
      <w:r>
        <w:rPr>
          <w:b w:val="0"/>
          <w:i w:val="0"/>
          <w:smallCaps w:val="0"/>
          <w:strike w:val="0"/>
          <w:sz w:val="16"/>
          <w:u w:val="none"/>
        </w:rPr>
        <w:t xml:space="preserve"> long-recognized </w:t>
      </w:r>
      <w:r>
        <w:rPr>
          <w:b w:val="0"/>
          <w:i w:val="0"/>
          <w:smallCaps w:val="0"/>
          <w:strike w:val="0"/>
          <w:u w:val="single"/>
        </w:rPr>
        <w:t xml:space="preserve">tendency to prioritize </w:t>
      </w:r>
      <w:r>
        <w:rPr>
          <w:b w:val="0"/>
          <w:i w:val="0"/>
          <w:smallCaps w:val="0"/>
          <w:strike w:val="0"/>
          <w:sz w:val="16"/>
          <w:u w:val="none"/>
        </w:rPr>
        <w:t xml:space="preserve">the interests of </w:t>
      </w:r>
      <w:r>
        <w:rPr>
          <w:b w:val="0"/>
          <w:i w:val="0"/>
          <w:smallCaps w:val="0"/>
          <w:strike w:val="0"/>
          <w:u w:val="single"/>
        </w:rPr>
        <w:t xml:space="preserve">copyright </w:t>
      </w:r>
      <w:r>
        <w:rPr>
          <w:b/>
          <w:i w:val="0"/>
          <w:smallCaps w:val="0"/>
          <w:strike w:val="0"/>
          <w:sz w:val="22"/>
          <w:u w:val="single"/>
        </w:rPr>
        <w:t>holders</w:t>
      </w:r>
      <w:r>
        <w:rPr>
          <w:b w:val="0"/>
          <w:i w:val="0"/>
          <w:smallCaps w:val="0"/>
          <w:strike w:val="0"/>
          <w:u w:val="single"/>
        </w:rPr>
        <w:t xml:space="preserve"> over</w:t>
      </w:r>
      <w:r>
        <w:rPr>
          <w:b w:val="0"/>
          <w:i w:val="0"/>
          <w:smallCaps w:val="0"/>
          <w:strike w:val="0"/>
          <w:sz w:val="16"/>
          <w:u w:val="none"/>
        </w:rPr>
        <w:t xml:space="preserve"> those of </w:t>
      </w:r>
      <w:r>
        <w:rPr>
          <w:b w:val="0"/>
          <w:i w:val="0"/>
          <w:smallCaps w:val="0"/>
          <w:strike w:val="0"/>
          <w:u w:val="single"/>
        </w:rPr>
        <w:t xml:space="preserve">the </w:t>
      </w:r>
      <w:r>
        <w:rPr>
          <w:b/>
          <w:i w:val="0"/>
          <w:smallCaps w:val="0"/>
          <w:strike w:val="0"/>
          <w:sz w:val="22"/>
          <w:u w:val="single"/>
        </w:rPr>
        <w:t>public</w:t>
      </w:r>
      <w:r>
        <w:rPr>
          <w:b w:val="0"/>
          <w:i w:val="0"/>
          <w:smallCaps w:val="0"/>
          <w:strike w:val="0"/>
          <w:sz w:val="16"/>
          <w:u w:val="none"/>
        </w:rPr>
        <w:t>.258</w:t>
      </w:r>
    </w:p>
    <w:p>
      <w:pPr>
        <w:spacing w:after="60"/>
      </w:pPr>
      <w:r>
        <w:rPr>
          <w:b w:val="0"/>
          <w:i w:val="0"/>
          <w:smallCaps w:val="0"/>
          <w:strike w:val="0"/>
          <w:sz w:val="16"/>
          <w:u w:val="none"/>
        </w:rPr>
        <w:t xml:space="preserve">In some ways, this tendency is understandable. The Office regularly interacts with copyright holders in its day-to-day operations, and rights holders and their various trade associations and industry groups are regular, repeat participants in every policy process the Office undertakes. Moreover, it is not uncommon for Office personnel to represent those same interests before and after their government service, reinforcing the ties between the Office and industry. 259 More broadly, copyright policymaking faces familiar challenges when it comes to fully accounting for the public interest. While rights holders are a concentrated, organized, and sophisticated constituency, </w:t>
      </w:r>
      <w:r>
        <w:rPr>
          <w:b w:val="0"/>
          <w:i w:val="0"/>
          <w:smallCaps w:val="0"/>
          <w:strike w:val="0"/>
          <w:u w:val="single"/>
        </w:rPr>
        <w:t xml:space="preserve">the public interest is </w:t>
      </w:r>
      <w:r>
        <w:rPr>
          <w:b/>
          <w:i w:val="0"/>
          <w:smallCaps w:val="0"/>
          <w:strike w:val="0"/>
          <w:sz w:val="22"/>
          <w:u w:val="single"/>
        </w:rPr>
        <w:t>diffuse</w:t>
      </w:r>
      <w:r>
        <w:rPr>
          <w:b w:val="0"/>
          <w:i w:val="0"/>
          <w:smallCaps w:val="0"/>
          <w:strike w:val="0"/>
          <w:u w:val="single"/>
        </w:rPr>
        <w:t xml:space="preserve">, largely </w:t>
      </w:r>
      <w:r>
        <w:rPr>
          <w:b/>
          <w:i w:val="0"/>
          <w:smallCaps w:val="0"/>
          <w:strike w:val="0"/>
          <w:sz w:val="22"/>
          <w:u w:val="single"/>
        </w:rPr>
        <w:t>unorganized</w:t>
      </w:r>
      <w:r>
        <w:rPr>
          <w:b w:val="0"/>
          <w:i w:val="0"/>
          <w:smallCaps w:val="0"/>
          <w:strike w:val="0"/>
          <w:u w:val="single"/>
        </w:rPr>
        <w:t xml:space="preserve">, and </w:t>
      </w:r>
      <w:r>
        <w:rPr>
          <w:b/>
          <w:i w:val="0"/>
          <w:smallCaps w:val="0"/>
          <w:strike w:val="0"/>
          <w:sz w:val="22"/>
          <w:u w:val="single"/>
        </w:rPr>
        <w:t>poorly resourced</w:t>
      </w:r>
      <w:r>
        <w:rPr>
          <w:b w:val="0"/>
          <w:i w:val="0"/>
          <w:smallCaps w:val="0"/>
          <w:strike w:val="0"/>
          <w:sz w:val="16"/>
          <w:u w:val="none"/>
        </w:rPr>
        <w:t xml:space="preserve">. 260 Although recent years have seen certain </w:t>
      </w:r>
      <w:r>
        <w:rPr>
          <w:b/>
          <w:i w:val="0"/>
          <w:smallCaps w:val="0"/>
          <w:strike w:val="0"/>
          <w:sz w:val="22"/>
          <w:u w:val="single"/>
        </w:rPr>
        <w:t>technology firms</w:t>
      </w:r>
      <w:r>
        <w:rPr>
          <w:b w:val="0"/>
          <w:i w:val="0"/>
          <w:smallCaps w:val="0"/>
          <w:strike w:val="0"/>
          <w:sz w:val="16"/>
          <w:u w:val="none"/>
        </w:rPr>
        <w:t xml:space="preserve"> serve as an effective counterbalance to the copyright industries, those firms </w:t>
      </w:r>
      <w:r>
        <w:rPr>
          <w:b w:val="0"/>
          <w:i w:val="0"/>
          <w:smallCaps w:val="0"/>
          <w:strike w:val="0"/>
          <w:u w:val="single"/>
        </w:rPr>
        <w:t>are</w:t>
      </w:r>
      <w:r>
        <w:rPr>
          <w:b w:val="0"/>
          <w:i w:val="0"/>
          <w:smallCaps w:val="0"/>
          <w:strike w:val="0"/>
          <w:sz w:val="16"/>
          <w:u w:val="none"/>
        </w:rPr>
        <w:t xml:space="preserve"> often, at best, </w:t>
      </w:r>
      <w:r>
        <w:rPr>
          <w:b w:val="0"/>
          <w:i w:val="0"/>
          <w:smallCaps w:val="0"/>
          <w:strike w:val="0"/>
          <w:u w:val="single"/>
        </w:rPr>
        <w:t xml:space="preserve">an </w:t>
      </w:r>
      <w:r>
        <w:rPr>
          <w:b/>
          <w:i w:val="0"/>
          <w:smallCaps w:val="0"/>
          <w:strike w:val="0"/>
          <w:sz w:val="22"/>
          <w:u w:val="single"/>
        </w:rPr>
        <w:t>imperfect proxy</w:t>
      </w:r>
      <w:r>
        <w:rPr>
          <w:b w:val="0"/>
          <w:i w:val="0"/>
          <w:smallCaps w:val="0"/>
          <w:strike w:val="0"/>
          <w:u w:val="single"/>
        </w:rPr>
        <w:t xml:space="preserve"> for the interests of consumers</w:t>
      </w:r>
      <w:r>
        <w:rPr>
          <w:b w:val="0"/>
          <w:i w:val="0"/>
          <w:smallCaps w:val="0"/>
          <w:strike w:val="0"/>
          <w:sz w:val="16"/>
          <w:u w:val="none"/>
        </w:rPr>
        <w:t xml:space="preserve">. </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