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counterplan results in </w:t>
      </w:r>
      <w:r>
        <w:rPr>
          <w:b/>
          <w:i w:val="0"/>
          <w:smallCaps w:val="0"/>
          <w:strike w:val="0"/>
          <w:sz w:val="26"/>
          <w:u w:val="single"/>
        </w:rPr>
        <w:t>successful</w:t>
      </w:r>
      <w:r>
        <w:rPr>
          <w:b/>
          <w:i w:val="0"/>
          <w:smallCaps w:val="0"/>
          <w:strike w:val="0"/>
          <w:sz w:val="26"/>
          <w:u w:val="none"/>
        </w:rPr>
        <w:t xml:space="preserve"> modernization.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Seth </w:t>
      </w:r>
      <w:r>
        <w:rPr>
          <w:b/>
          <w:i w:val="0"/>
          <w:smallCaps w:val="0"/>
          <w:strike w:val="0"/>
          <w:sz w:val="26"/>
          <w:u w:val="none"/>
        </w:rPr>
        <w:t>Cooper 17</w:t>
      </w:r>
      <w:r>
        <w:rPr>
          <w:b w:val="0"/>
          <w:i w:val="0"/>
          <w:smallCaps w:val="0"/>
          <w:strike w:val="0"/>
          <w:u w:val="none"/>
        </w:rPr>
        <w:t xml:space="preserve">, Director of Policy Studies &amp; Senior Fellow at The Free State Foundation; Randolph May, Founder and President of The Free State Foundation, 11-8-2017, "U.S. Copyright Office Needs an Upgrade for the Digital Age Economy," 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u w:val="single"/>
        </w:rPr>
        <w:t>restructured Copyright Office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is autonomous from the Library of Congress and that has authority over its own budget </w:t>
      </w:r>
      <w:r>
        <w:rPr>
          <w:b w:val="0"/>
          <w:i w:val="0"/>
          <w:smallCaps w:val="0"/>
          <w:strike w:val="0"/>
          <w:u w:val="single"/>
        </w:rPr>
        <w:t xml:space="preserve">would be better positioned to make </w:t>
      </w:r>
      <w:r>
        <w:rPr>
          <w:b/>
          <w:i w:val="0"/>
          <w:smallCaps w:val="0"/>
          <w:strike w:val="0"/>
          <w:sz w:val="22"/>
          <w:u w:val="single"/>
        </w:rPr>
        <w:t>long overdue</w:t>
      </w:r>
      <w:r>
        <w:rPr>
          <w:b w:val="0"/>
          <w:i w:val="0"/>
          <w:smallCaps w:val="0"/>
          <w:strike w:val="0"/>
          <w:u w:val="single"/>
        </w:rPr>
        <w:t xml:space="preserve"> technological upgrades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the Copyright </w:t>
      </w:r>
      <w:r>
        <w:rPr>
          <w:b w:val="0"/>
          <w:i w:val="0"/>
          <w:smallCaps w:val="0"/>
          <w:strike w:val="0"/>
          <w:u w:val="single"/>
        </w:rPr>
        <w:t>Office needs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build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comprehensive searchable </w:t>
      </w:r>
      <w:r>
        <w:rPr>
          <w:b/>
          <w:i w:val="0"/>
          <w:smallCaps w:val="0"/>
          <w:strike w:val="0"/>
          <w:sz w:val="22"/>
          <w:u w:val="single"/>
        </w:rPr>
        <w:t>database</w:t>
      </w:r>
      <w:r>
        <w:rPr>
          <w:b w:val="0"/>
          <w:i w:val="0"/>
          <w:smallCaps w:val="0"/>
          <w:strike w:val="0"/>
          <w:u w:val="single"/>
        </w:rPr>
        <w:t xml:space="preserve"> of copyright registration and </w:t>
      </w:r>
      <w:r>
        <w:rPr>
          <w:b/>
          <w:i w:val="0"/>
          <w:smallCaps w:val="0"/>
          <w:strike w:val="0"/>
          <w:sz w:val="22"/>
          <w:u w:val="single"/>
        </w:rPr>
        <w:t>transfer</w:t>
      </w:r>
      <w:r>
        <w:rPr>
          <w:b w:val="0"/>
          <w:i w:val="0"/>
          <w:smallCaps w:val="0"/>
          <w:strike w:val="0"/>
          <w:u w:val="single"/>
        </w:rPr>
        <w:t xml:space="preserve"> records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Prospective purchasers</w:t>
      </w:r>
      <w:r>
        <w:rPr>
          <w:b w:val="0"/>
          <w:i w:val="0"/>
          <w:smallCaps w:val="0"/>
          <w:strike w:val="0"/>
          <w:u w:val="single"/>
        </w:rPr>
        <w:t xml:space="preserve"> of copyrighted works would </w:t>
      </w:r>
      <w:r>
        <w:rPr>
          <w:b/>
          <w:i w:val="0"/>
          <w:smallCaps w:val="0"/>
          <w:strike w:val="0"/>
          <w:sz w:val="22"/>
          <w:u w:val="single"/>
        </w:rPr>
        <w:t>benefit</w:t>
      </w:r>
      <w:r>
        <w:rPr>
          <w:b w:val="0"/>
          <w:i w:val="0"/>
          <w:smallCaps w:val="0"/>
          <w:strike w:val="0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u w:val="single"/>
        </w:rPr>
        <w:t xml:space="preserve">reliable and </w:t>
      </w:r>
      <w:r>
        <w:rPr>
          <w:b/>
          <w:i w:val="0"/>
          <w:smallCaps w:val="0"/>
          <w:strike w:val="0"/>
          <w:sz w:val="22"/>
          <w:u w:val="single"/>
        </w:rPr>
        <w:t>less costly searches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the resulting facilitation of voluntary exchanges would enhance economic values for current copyright owners. </w:t>
      </w:r>
      <w:r>
        <w:rPr>
          <w:b w:val="0"/>
          <w:i w:val="0"/>
          <w:smallCaps w:val="0"/>
          <w:strike w:val="0"/>
          <w:u w:val="single"/>
        </w:rPr>
        <w:t xml:space="preserve">Technology-enabled reductions in registration burdens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would </w:t>
      </w:r>
      <w:r>
        <w:rPr>
          <w:b w:val="0"/>
          <w:i w:val="0"/>
          <w:smallCaps w:val="0"/>
          <w:strike w:val="0"/>
          <w:u w:val="single"/>
        </w:rPr>
        <w:t xml:space="preserve">also </w:t>
      </w:r>
      <w:r>
        <w:rPr>
          <w:b/>
          <w:i w:val="0"/>
          <w:smallCaps w:val="0"/>
          <w:strike w:val="0"/>
          <w:sz w:val="22"/>
          <w:u w:val="single"/>
        </w:rPr>
        <w:t>benefit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copyrightable works.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Additionally, restructuring is needed to alleviate an existing constitutional incongruity: </w:t>
      </w:r>
      <w:r>
        <w:rPr>
          <w:b w:val="0"/>
          <w:i w:val="0"/>
          <w:smallCaps w:val="0"/>
          <w:strike w:val="0"/>
          <w:u w:val="single"/>
        </w:rPr>
        <w:t xml:space="preserve">the Copyright Office performs significant </w:t>
      </w:r>
      <w:r>
        <w:rPr>
          <w:b/>
          <w:i w:val="0"/>
          <w:smallCaps w:val="0"/>
          <w:strike w:val="0"/>
          <w:sz w:val="22"/>
          <w:u w:val="single"/>
        </w:rPr>
        <w:t>executive administrative functions</w:t>
      </w:r>
      <w:r>
        <w:rPr>
          <w:b w:val="0"/>
          <w:i w:val="0"/>
          <w:smallCaps w:val="0"/>
          <w:strike w:val="0"/>
          <w:u w:val="single"/>
        </w:rPr>
        <w:t xml:space="preserve">, yet Congress deems the Office a </w:t>
      </w:r>
      <w:r>
        <w:rPr>
          <w:b/>
          <w:i w:val="0"/>
          <w:smallCaps w:val="0"/>
          <w:strike w:val="0"/>
          <w:sz w:val="22"/>
          <w:u w:val="single"/>
        </w:rPr>
        <w:t>legislative sub-agency</w:t>
      </w:r>
      <w:r>
        <w:rPr>
          <w:b w:val="0"/>
          <w:i w:val="0"/>
          <w:smallCaps w:val="0"/>
          <w:strike w:val="0"/>
          <w:u w:val="single"/>
        </w:rPr>
        <w:t xml:space="preserve"> within the within the Library of Congress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Long-standing Congressional identification of the Copyright Office as part of the Legislative Branch is </w:t>
      </w:r>
      <w:r>
        <w:rPr>
          <w:b/>
          <w:i w:val="0"/>
          <w:smallCaps w:val="0"/>
          <w:strike w:val="0"/>
          <w:sz w:val="22"/>
          <w:u w:val="single"/>
        </w:rPr>
        <w:t>at odds</w:t>
      </w:r>
      <w:r>
        <w:rPr>
          <w:b w:val="0"/>
          <w:i w:val="0"/>
          <w:smallCaps w:val="0"/>
          <w:strike w:val="0"/>
          <w:u w:val="single"/>
        </w:rPr>
        <w:t xml:space="preserve"> with the reasoning of U.S. </w:t>
      </w:r>
      <w:r>
        <w:rPr>
          <w:b/>
          <w:i w:val="0"/>
          <w:smallCaps w:val="0"/>
          <w:strike w:val="0"/>
          <w:sz w:val="22"/>
          <w:u w:val="single"/>
        </w:rPr>
        <w:t>Supreme Court</w:t>
      </w:r>
      <w:r>
        <w:rPr>
          <w:b w:val="0"/>
          <w:i w:val="0"/>
          <w:smallCaps w:val="0"/>
          <w:strike w:val="0"/>
          <w:u w:val="single"/>
        </w:rPr>
        <w:t xml:space="preserve"> and lower court 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involving the Constitution’s Appointments Clause, contained in Article II, Section 2, Clause 2. The </w:t>
      </w:r>
      <w:r>
        <w:rPr>
          <w:b w:val="0"/>
          <w:i w:val="0"/>
          <w:smallCaps w:val="0"/>
          <w:strike w:val="0"/>
          <w:u w:val="single"/>
        </w:rPr>
        <w:t xml:space="preserve">Clause is intended to ensure that administrative agencies performing executive functions be </w:t>
      </w:r>
      <w:r>
        <w:rPr>
          <w:b/>
          <w:i w:val="0"/>
          <w:smallCaps w:val="0"/>
          <w:strike w:val="0"/>
          <w:sz w:val="22"/>
          <w:u w:val="single"/>
        </w:rPr>
        <w:t>accountable to the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the process of appointment. Decisions in </w:t>
      </w:r>
      <w:r>
        <w:rPr>
          <w:b w:val="0"/>
          <w:i w:val="0"/>
          <w:smallCaps w:val="0"/>
          <w:strike w:val="0"/>
          <w:sz w:val="16"/>
          <w:u w:val="none"/>
        </w:rPr>
        <w:t>Eltra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Corporation v. Ringer (4th Cir. 1978) and Intercollegiate Broadcasting System, Inc. v. Copyright Royalty Board (D.C. Cir. 2012) have concluded that the Librarian is an “Officer” and the “Head of a Department” in the Executive Branch and that the Register is an “inferior Officer” in the Executive Branch.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