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An </w:t>
      </w:r>
      <w:r>
        <w:rPr>
          <w:b/>
          <w:i w:val="0"/>
          <w:smallCaps w:val="0"/>
          <w:strike w:val="0"/>
          <w:sz w:val="26"/>
          <w:u w:val="single"/>
        </w:rPr>
        <w:t>unreformed</w:t>
      </w:r>
      <w:r>
        <w:rPr>
          <w:b/>
          <w:i w:val="0"/>
          <w:smallCaps w:val="0"/>
          <w:strike w:val="0"/>
          <w:sz w:val="26"/>
          <w:u w:val="none"/>
        </w:rPr>
        <w:t xml:space="preserve"> Copyright Office gets </w:t>
      </w:r>
      <w:r>
        <w:rPr>
          <w:b/>
          <w:i w:val="0"/>
          <w:smallCaps w:val="0"/>
          <w:strike w:val="0"/>
          <w:sz w:val="26"/>
          <w:u w:val="single"/>
        </w:rPr>
        <w:t>captured</w:t>
      </w:r>
      <w:r>
        <w:rPr>
          <w:b/>
          <w:i w:val="0"/>
          <w:smallCaps w:val="0"/>
          <w:strike w:val="0"/>
          <w:sz w:val="26"/>
          <w:u w:val="none"/>
        </w:rPr>
        <w:t xml:space="preserve"> by big tech. </w:t>
      </w:r>
    </w:p>
    <w:p>
      <w:pPr>
        <w:spacing w:after="80"/>
      </w:pPr>
      <w:r>
        <w:rPr>
          <w:b w:val="0"/>
          <w:i w:val="0"/>
          <w:smallCaps w:val="0"/>
          <w:strike w:val="0"/>
          <w:u w:val="none"/>
        </w:rPr>
        <w:t xml:space="preserve">Meredith </w:t>
      </w:r>
      <w:r>
        <w:rPr>
          <w:b/>
          <w:i w:val="0"/>
          <w:smallCaps w:val="0"/>
          <w:strike w:val="0"/>
          <w:sz w:val="26"/>
          <w:u w:val="none"/>
        </w:rPr>
        <w:t>Rose 16</w:t>
      </w:r>
      <w:r>
        <w:rPr>
          <w:b w:val="0"/>
          <w:i w:val="0"/>
          <w:smallCaps w:val="0"/>
          <w:strike w:val="0"/>
          <w:u w:val="none"/>
        </w:rPr>
        <w:t xml:space="preserve">, Senior Policy Counsel in copyright and Intellectual Property issues at Public Knowledge, et al., 9/8/2016, “Captured: Systemic Bias at the U.S. Copyright Office,” </w:t>
      </w:r>
      <w:r>
        <w:rPr>
          <w:b w:val="0"/>
          <w:i w:val="0"/>
          <w:smallCaps w:val="0"/>
          <w:strike w:val="0"/>
          <w:u w:val="none"/>
        </w:rPr>
        <w:t>https://publicknowledge.org/wp-content/uploads/2021/11/Final_Captured_Systemic_Bias_at_the_US_Copyright_Office.pdf,</w:t>
      </w:r>
      <w:r>
        <w:rPr>
          <w:b w:val="0"/>
          <w:i w:val="0"/>
          <w:smallCaps w:val="0"/>
          <w:strike w:val="0"/>
          <w:u w:val="none"/>
        </w:rPr>
        <w:t xml:space="preserve"> </w:t>
      </w:r>
      <w:r>
        <w:rPr>
          <w:b w:val="0"/>
          <w:i w:val="0"/>
          <w:smallCaps w:val="0"/>
          <w:strike w:val="0"/>
          <w:u w:val="none"/>
        </w:rPr>
        <w:t>ajs</w:t>
      </w:r>
    </w:p>
    <w:p>
      <w:pPr>
        <w:spacing w:after="60"/>
      </w:pPr>
      <w:r>
        <w:rPr>
          <w:b w:val="0"/>
          <w:i w:val="0"/>
          <w:smallCaps w:val="0"/>
          <w:strike w:val="0"/>
          <w:sz w:val="16"/>
          <w:u w:val="none"/>
        </w:rPr>
        <w:t xml:space="preserve">Congressman Robert W. </w:t>
      </w:r>
      <w:r>
        <w:rPr>
          <w:b w:val="0"/>
          <w:i w:val="0"/>
          <w:smallCaps w:val="0"/>
          <w:strike w:val="0"/>
          <w:sz w:val="16"/>
          <w:u w:val="none"/>
        </w:rPr>
        <w:t>Kastenmeier</w:t>
      </w:r>
      <w:r>
        <w:rPr>
          <w:b w:val="0"/>
          <w:i w:val="0"/>
          <w:smallCaps w:val="0"/>
          <w:strike w:val="0"/>
          <w:sz w:val="16"/>
          <w:u w:val="none"/>
        </w:rPr>
        <w:t>, a member of the House Judiciary Committee who was central to the passage of the 1976 Copyright Act, once explained that “</w:t>
      </w:r>
      <w:r>
        <w:rPr>
          <w:b w:val="0"/>
          <w:i w:val="0"/>
          <w:smallCaps w:val="0"/>
          <w:strike w:val="0"/>
          <w:u w:val="single"/>
        </w:rPr>
        <w:t xml:space="preserve">[t]he proponent of change </w:t>
      </w:r>
      <w:r>
        <w:rPr>
          <w:b w:val="0"/>
          <w:i w:val="0"/>
          <w:smallCaps w:val="0"/>
          <w:strike w:val="0"/>
          <w:sz w:val="16"/>
          <w:u w:val="none"/>
        </w:rPr>
        <w:t>[</w:t>
      </w:r>
      <w:r>
        <w:rPr>
          <w:b w:val="0"/>
          <w:i w:val="0"/>
          <w:smallCaps w:val="0"/>
          <w:strike w:val="0"/>
          <w:u w:val="single"/>
        </w:rPr>
        <w:t>to copyright law</w:t>
      </w:r>
      <w:r>
        <w:rPr>
          <w:b w:val="0"/>
          <w:i w:val="0"/>
          <w:smallCaps w:val="0"/>
          <w:strike w:val="0"/>
          <w:sz w:val="16"/>
          <w:u w:val="none"/>
        </w:rPr>
        <w:t xml:space="preserve">] </w:t>
      </w:r>
      <w:r>
        <w:rPr>
          <w:b w:val="0"/>
          <w:i w:val="0"/>
          <w:smallCaps w:val="0"/>
          <w:strike w:val="0"/>
          <w:u w:val="single"/>
        </w:rPr>
        <w:t xml:space="preserve">should present an </w:t>
      </w:r>
      <w:r>
        <w:rPr>
          <w:b/>
          <w:i w:val="0"/>
          <w:smallCaps w:val="0"/>
          <w:strike w:val="0"/>
          <w:sz w:val="22"/>
          <w:u w:val="single"/>
        </w:rPr>
        <w:t>honest analysis</w:t>
      </w:r>
      <w:r>
        <w:rPr>
          <w:b w:val="0"/>
          <w:i w:val="0"/>
          <w:smallCaps w:val="0"/>
          <w:strike w:val="0"/>
          <w:u w:val="single"/>
        </w:rPr>
        <w:t xml:space="preserve"> of</w:t>
      </w:r>
      <w:r>
        <w:rPr>
          <w:b w:val="0"/>
          <w:i w:val="0"/>
          <w:smallCaps w:val="0"/>
          <w:strike w:val="0"/>
          <w:sz w:val="16"/>
          <w:u w:val="none"/>
        </w:rPr>
        <w:t xml:space="preserve"> all the </w:t>
      </w:r>
      <w:r>
        <w:rPr>
          <w:b w:val="0"/>
          <w:i w:val="0"/>
          <w:smallCaps w:val="0"/>
          <w:strike w:val="0"/>
          <w:u w:val="single"/>
        </w:rPr>
        <w:t>costs and benefits</w:t>
      </w:r>
      <w:r>
        <w:rPr>
          <w:b w:val="0"/>
          <w:i w:val="0"/>
          <w:smallCaps w:val="0"/>
          <w:strike w:val="0"/>
          <w:sz w:val="16"/>
          <w:u w:val="none"/>
        </w:rPr>
        <w:t xml:space="preserve"> . . . The argument that a particular interest group will make more money and therefore be more creative does not satisfy this threshold standard or the constitutional requirements of the intellectual property clause.”57 </w:t>
      </w:r>
      <w:r>
        <w:rPr>
          <w:b w:val="0"/>
          <w:i w:val="0"/>
          <w:smallCaps w:val="0"/>
          <w:strike w:val="0"/>
          <w:u w:val="single"/>
        </w:rPr>
        <w:t>Copyright</w:t>
      </w:r>
      <w:r>
        <w:rPr>
          <w:b w:val="0"/>
          <w:i w:val="0"/>
          <w:smallCaps w:val="0"/>
          <w:strike w:val="0"/>
          <w:sz w:val="16"/>
          <w:u w:val="none"/>
        </w:rPr>
        <w:t xml:space="preserve">, as designed, </w:t>
      </w:r>
      <w:r>
        <w:rPr>
          <w:b w:val="0"/>
          <w:i w:val="0"/>
          <w:smallCaps w:val="0"/>
          <w:strike w:val="0"/>
          <w:u w:val="single"/>
        </w:rPr>
        <w:t xml:space="preserve">is </w:t>
      </w:r>
      <w:r>
        <w:rPr>
          <w:b w:val="0"/>
          <w:i w:val="0"/>
          <w:smallCaps w:val="0"/>
          <w:strike w:val="0"/>
          <w:u w:val="single"/>
        </w:rPr>
        <w:t>by definition a</w:t>
      </w:r>
      <w:r>
        <w:rPr>
          <w:b w:val="0"/>
          <w:i w:val="0"/>
          <w:smallCaps w:val="0"/>
          <w:strike w:val="0"/>
          <w:u w:val="single"/>
        </w:rPr>
        <w:t xml:space="preserve"> limited monopoly, with the direct aim of promoting the </w:t>
      </w:r>
      <w:r>
        <w:rPr>
          <w:b/>
          <w:i w:val="0"/>
          <w:smallCaps w:val="0"/>
          <w:strike w:val="0"/>
          <w:sz w:val="22"/>
          <w:u w:val="single"/>
        </w:rPr>
        <w:t>public good</w:t>
      </w:r>
      <w:r>
        <w:rPr>
          <w:b w:val="0"/>
          <w:i w:val="0"/>
          <w:smallCaps w:val="0"/>
          <w:strike w:val="0"/>
          <w:sz w:val="16"/>
          <w:u w:val="none"/>
        </w:rPr>
        <w:t xml:space="preserve"> by securing incentives to creation for a limited time. </w:t>
      </w:r>
      <w:r>
        <w:rPr>
          <w:b w:val="0"/>
          <w:i w:val="0"/>
          <w:smallCaps w:val="0"/>
          <w:strike w:val="0"/>
          <w:u w:val="single"/>
        </w:rPr>
        <w:t xml:space="preserve">These incentives are </w:t>
      </w:r>
      <w:r>
        <w:rPr>
          <w:b/>
          <w:i w:val="0"/>
          <w:smallCaps w:val="0"/>
          <w:strike w:val="0"/>
          <w:sz w:val="22"/>
          <w:u w:val="single"/>
        </w:rPr>
        <w:t>not boundless</w:t>
      </w:r>
      <w:r>
        <w:rPr>
          <w:b w:val="0"/>
          <w:i w:val="0"/>
          <w:smallCaps w:val="0"/>
          <w:strike w:val="0"/>
          <w:sz w:val="16"/>
          <w:u w:val="none"/>
        </w:rPr>
        <w:t xml:space="preserve">, and </w:t>
      </w:r>
      <w:r>
        <w:rPr>
          <w:b w:val="0"/>
          <w:i w:val="0"/>
          <w:smallCaps w:val="0"/>
          <w:strike w:val="0"/>
          <w:u w:val="single"/>
        </w:rPr>
        <w:t xml:space="preserve">those who seek to expand them bear a </w:t>
      </w:r>
      <w:r>
        <w:rPr>
          <w:b/>
          <w:i w:val="0"/>
          <w:smallCaps w:val="0"/>
          <w:strike w:val="0"/>
          <w:sz w:val="22"/>
          <w:u w:val="single"/>
        </w:rPr>
        <w:t>substantial burden</w:t>
      </w:r>
      <w:r>
        <w:rPr>
          <w:b w:val="0"/>
          <w:i w:val="0"/>
          <w:smallCaps w:val="0"/>
          <w:strike w:val="0"/>
          <w:u w:val="single"/>
        </w:rPr>
        <w:t xml:space="preserve"> in proving their case</w:t>
      </w:r>
      <w:r>
        <w:rPr>
          <w:b w:val="0"/>
          <w:i w:val="0"/>
          <w:smallCaps w:val="0"/>
          <w:strike w:val="0"/>
          <w:sz w:val="16"/>
          <w:u w:val="none"/>
        </w:rPr>
        <w:t>.</w:t>
      </w:r>
    </w:p>
    <w:p>
      <w:pPr>
        <w:spacing w:after="60"/>
      </w:pPr>
      <w:r>
        <w:rPr>
          <w:b w:val="0"/>
          <w:i w:val="0"/>
          <w:smallCaps w:val="0"/>
          <w:strike w:val="0"/>
          <w:sz w:val="16"/>
          <w:u w:val="none"/>
        </w:rPr>
        <w:t xml:space="preserve">The </w:t>
      </w:r>
      <w:r>
        <w:rPr>
          <w:b w:val="0"/>
          <w:i w:val="0"/>
          <w:smallCaps w:val="0"/>
          <w:strike w:val="0"/>
          <w:u w:val="single"/>
        </w:rPr>
        <w:t>Copyright Office</w:t>
      </w:r>
      <w:r>
        <w:rPr>
          <w:b w:val="0"/>
          <w:i w:val="0"/>
          <w:smallCaps w:val="0"/>
          <w:strike w:val="0"/>
          <w:sz w:val="16"/>
          <w:u w:val="none"/>
        </w:rPr>
        <w:t xml:space="preserve">, however, </w:t>
      </w:r>
      <w:r>
        <w:rPr>
          <w:b/>
          <w:i w:val="0"/>
          <w:smallCaps w:val="0"/>
          <w:strike w:val="0"/>
          <w:sz w:val="22"/>
          <w:u w:val="single"/>
        </w:rPr>
        <w:t>does not adhere</w:t>
      </w:r>
      <w:r>
        <w:rPr>
          <w:b w:val="0"/>
          <w:i w:val="0"/>
          <w:smallCaps w:val="0"/>
          <w:strike w:val="0"/>
          <w:u w:val="single"/>
        </w:rPr>
        <w:t xml:space="preserve"> to this view</w:t>
      </w:r>
      <w:r>
        <w:rPr>
          <w:b w:val="0"/>
          <w:i w:val="0"/>
          <w:smallCaps w:val="0"/>
          <w:strike w:val="0"/>
          <w:sz w:val="16"/>
          <w:u w:val="none"/>
        </w:rPr>
        <w:t xml:space="preserve"> of copyright law; instead, history has borne out again and again the observation that </w:t>
      </w:r>
      <w:r>
        <w:rPr>
          <w:b w:val="0"/>
          <w:i w:val="0"/>
          <w:smallCaps w:val="0"/>
          <w:strike w:val="0"/>
          <w:u w:val="single"/>
        </w:rPr>
        <w:t>it</w:t>
      </w:r>
      <w:r>
        <w:rPr>
          <w:b w:val="0"/>
          <w:i w:val="0"/>
          <w:smallCaps w:val="0"/>
          <w:strike w:val="0"/>
          <w:sz w:val="16"/>
          <w:u w:val="none"/>
        </w:rPr>
        <w:t xml:space="preserve"> “</w:t>
      </w:r>
      <w:r>
        <w:rPr>
          <w:b w:val="0"/>
          <w:i w:val="0"/>
          <w:smallCaps w:val="0"/>
          <w:strike w:val="0"/>
          <w:u w:val="single"/>
        </w:rPr>
        <w:t xml:space="preserve">has tended to view </w:t>
      </w:r>
      <w:r>
        <w:rPr>
          <w:b/>
          <w:i w:val="0"/>
          <w:smallCaps w:val="0"/>
          <w:strike w:val="0"/>
          <w:sz w:val="22"/>
          <w:u w:val="single"/>
        </w:rPr>
        <w:t xml:space="preserve">copyright owners </w:t>
      </w:r>
      <w:r>
        <w:rPr>
          <w:b w:val="0"/>
          <w:i w:val="0"/>
          <w:smallCaps w:val="0"/>
          <w:strike w:val="0"/>
          <w:u w:val="single"/>
        </w:rPr>
        <w:t xml:space="preserve">as its </w:t>
      </w:r>
      <w:r>
        <w:rPr>
          <w:b/>
          <w:i w:val="0"/>
          <w:smallCaps w:val="0"/>
          <w:strike w:val="0"/>
          <w:sz w:val="22"/>
          <w:u w:val="single"/>
        </w:rPr>
        <w:t>real constituency</w:t>
      </w:r>
      <w:r>
        <w:rPr>
          <w:b w:val="0"/>
          <w:i w:val="0"/>
          <w:smallCaps w:val="0"/>
          <w:strike w:val="0"/>
          <w:sz w:val="16"/>
          <w:u w:val="none"/>
        </w:rPr>
        <w:t xml:space="preserve">.”58 </w:t>
      </w:r>
      <w:r>
        <w:rPr>
          <w:b w:val="0"/>
          <w:i w:val="0"/>
          <w:smallCaps w:val="0"/>
          <w:strike w:val="0"/>
          <w:u w:val="single"/>
        </w:rPr>
        <w:t>It has repeatedly aligned itself with</w:t>
      </w:r>
      <w:r>
        <w:rPr>
          <w:b w:val="0"/>
          <w:i w:val="0"/>
          <w:smallCaps w:val="0"/>
          <w:strike w:val="0"/>
          <w:sz w:val="16"/>
          <w:u w:val="none"/>
        </w:rPr>
        <w:t xml:space="preserve"> the policy agendas of </w:t>
      </w:r>
      <w:r>
        <w:rPr>
          <w:b/>
          <w:i w:val="0"/>
          <w:smallCaps w:val="0"/>
          <w:strike w:val="0"/>
          <w:sz w:val="22"/>
          <w:u w:val="single"/>
        </w:rPr>
        <w:t>major industry groups</w:t>
      </w:r>
      <w:r>
        <w:rPr>
          <w:b w:val="0"/>
          <w:i w:val="0"/>
          <w:smallCaps w:val="0"/>
          <w:strike w:val="0"/>
          <w:sz w:val="16"/>
          <w:u w:val="none"/>
        </w:rPr>
        <w:t xml:space="preserve">, seeking to expand the reach of copyright in scope, duration, and ease of enforcement. From seeking to curtail the usability of orphan works, to advocating for expansive moral rights for rightsholders, to supporting copyright expansion in the face of contrary statutory mandates, to outright technophobia, </w:t>
      </w:r>
      <w:r>
        <w:rPr>
          <w:b w:val="0"/>
          <w:i w:val="0"/>
          <w:smallCaps w:val="0"/>
          <w:strike w:val="0"/>
          <w:u w:val="single"/>
        </w:rPr>
        <w:t xml:space="preserve">the Copyright Office has repeatedly placed the interests of rightsholders </w:t>
      </w:r>
      <w:r>
        <w:rPr>
          <w:b/>
          <w:i w:val="0"/>
          <w:smallCaps w:val="0"/>
          <w:strike w:val="0"/>
          <w:sz w:val="22"/>
          <w:u w:val="single"/>
        </w:rPr>
        <w:t>above</w:t>
      </w:r>
      <w:r>
        <w:rPr>
          <w:b w:val="0"/>
          <w:i w:val="0"/>
          <w:smallCaps w:val="0"/>
          <w:strike w:val="0"/>
          <w:u w:val="single"/>
        </w:rPr>
        <w:t xml:space="preserve"> both the </w:t>
      </w:r>
      <w:r>
        <w:rPr>
          <w:b/>
          <w:i w:val="0"/>
          <w:smallCaps w:val="0"/>
          <w:strike w:val="0"/>
          <w:sz w:val="22"/>
          <w:u w:val="single"/>
        </w:rPr>
        <w:t>public interest</w:t>
      </w:r>
      <w:r>
        <w:rPr>
          <w:b w:val="0"/>
          <w:i w:val="0"/>
          <w:smallCaps w:val="0"/>
          <w:strike w:val="0"/>
          <w:sz w:val="16"/>
          <w:u w:val="none"/>
        </w:rPr>
        <w:t>.</w:t>
      </w:r>
    </w:p>
    <w:p>
      <w:pPr>
        <w:pStyle w:val="Caption"/>
      </w:pPr>
      <w:r>
        <w:t>Source: Copyright Reform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