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“United States” </w:t>
      </w:r>
      <w:r>
        <w:rPr>
          <w:b/>
          <w:i w:val="0"/>
          <w:smallCaps w:val="0"/>
          <w:strike w:val="0"/>
          <w:sz w:val="26"/>
          <w:u w:val="single"/>
        </w:rPr>
        <w:t>excludes</w:t>
      </w:r>
      <w:r>
        <w:rPr>
          <w:b/>
          <w:i w:val="0"/>
          <w:smallCaps w:val="0"/>
          <w:strike w:val="0"/>
          <w:sz w:val="26"/>
          <w:u w:val="none"/>
        </w:rPr>
        <w:t xml:space="preserve"> sub-federal actors.</w:t>
      </w:r>
    </w:p>
    <w:p>
      <w:pPr>
        <w:spacing w:after="80"/>
      </w:pPr>
      <w:r>
        <w:rPr>
          <w:b/>
          <w:i w:val="0"/>
          <w:smallCaps w:val="0"/>
          <w:strike w:val="0"/>
          <w:sz w:val="26"/>
          <w:u w:val="none"/>
        </w:rPr>
        <w:t>Lageux ’91</w:t>
      </w:r>
      <w:r>
        <w:rPr>
          <w:b w:val="0"/>
          <w:i w:val="0"/>
          <w:smallCaps w:val="0"/>
          <w:strike w:val="0"/>
          <w:sz w:val="22"/>
          <w:u w:val="none"/>
        </w:rPr>
        <w:t xml:space="preserve"> [Ronald Rene; September 17; Federal District Court Judge; Westlaw, “Complaint of Ballard Shipping Co.,” 772 F. Supp. 721]</w:t>
      </w:r>
    </w:p>
    <w:p>
      <w:pPr>
        <w:spacing w:after="60"/>
      </w:pPr>
      <w:r>
        <w:rPr>
          <w:b w:val="0"/>
          <w:i w:val="0"/>
          <w:smallCaps w:val="0"/>
          <w:strike w:val="0"/>
          <w:sz w:val="22"/>
          <w:u w:val="single"/>
        </w:rPr>
        <w:t>Claimants argue</w:t>
      </w:r>
      <w:r>
        <w:rPr>
          <w:b w:val="0"/>
          <w:i w:val="0"/>
          <w:smallCaps w:val="0"/>
          <w:strike w:val="0"/>
          <w:sz w:val="16"/>
          <w:u w:val="none"/>
        </w:rPr>
        <w:t xml:space="preserve"> that </w:t>
      </w:r>
      <w:r>
        <w:rPr>
          <w:b w:val="0"/>
          <w:i w:val="0"/>
          <w:smallCaps w:val="0"/>
          <w:strike w:val="0"/>
          <w:sz w:val="22"/>
          <w:highlight w:val="cyan"/>
          <w:u w:val="single"/>
        </w:rPr>
        <w:t>the</w:t>
      </w:r>
      <w:r>
        <w:rPr>
          <w:b w:val="0"/>
          <w:i w:val="0"/>
          <w:smallCaps w:val="0"/>
          <w:strike w:val="0"/>
          <w:sz w:val="22"/>
          <w:u w:val="single"/>
        </w:rPr>
        <w:t xml:space="preserve"> statute's </w:t>
      </w:r>
      <w:r>
        <w:rPr>
          <w:b/>
          <w:i w:val="0"/>
          <w:smallCaps w:val="0"/>
          <w:strike w:val="0"/>
          <w:sz w:val="22"/>
          <w:highlight w:val="cyan"/>
          <w:u w:val="single"/>
        </w:rPr>
        <w:t>broad</w:t>
      </w:r>
      <w:r>
        <w:rPr>
          <w:b w:val="0"/>
          <w:i w:val="0"/>
          <w:smallCaps w:val="0"/>
          <w:strike w:val="0"/>
          <w:sz w:val="22"/>
          <w:highlight w:val="cyan"/>
          <w:u w:val="single"/>
        </w:rPr>
        <w:t>, “</w:t>
      </w:r>
      <w:r>
        <w:rPr>
          <w:b/>
          <w:i w:val="0"/>
          <w:smallCaps w:val="0"/>
          <w:strike w:val="0"/>
          <w:sz w:val="22"/>
          <w:highlight w:val="cyan"/>
          <w:u w:val="single"/>
        </w:rPr>
        <w:t>pre-civil war</w:t>
      </w:r>
      <w:r>
        <w:rPr>
          <w:b w:val="0"/>
          <w:i w:val="0"/>
          <w:smallCaps w:val="0"/>
          <w:strike w:val="0"/>
          <w:sz w:val="22"/>
          <w:highlight w:val="cyan"/>
          <w:u w:val="single"/>
        </w:rPr>
        <w:t>”</w:t>
      </w:r>
      <w:r>
        <w:rPr>
          <w:b w:val="0"/>
          <w:i w:val="0"/>
          <w:smallCaps w:val="0"/>
          <w:strike w:val="0"/>
          <w:sz w:val="22"/>
          <w:u w:val="single"/>
        </w:rPr>
        <w:t xml:space="preserve"> definition of </w:t>
      </w:r>
      <w:r>
        <w:rPr>
          <w:b w:val="0"/>
          <w:i w:val="0"/>
          <w:smallCaps w:val="0"/>
          <w:strike w:val="0"/>
          <w:sz w:val="22"/>
          <w:highlight w:val="cyan"/>
          <w:u w:val="single"/>
        </w:rPr>
        <w:t>“</w:t>
      </w:r>
      <w:r>
        <w:rPr>
          <w:b/>
          <w:i w:val="0"/>
          <w:smallCaps w:val="0"/>
          <w:strike w:val="0"/>
          <w:sz w:val="22"/>
          <w:highlight w:val="cyan"/>
          <w:u w:val="single"/>
        </w:rPr>
        <w:t>U</w:t>
      </w:r>
      <w:r>
        <w:rPr>
          <w:b w:val="0"/>
          <w:i w:val="0"/>
          <w:smallCaps w:val="0"/>
          <w:strike w:val="0"/>
          <w:sz w:val="22"/>
          <w:u w:val="single"/>
        </w:rPr>
        <w:t xml:space="preserve">nited </w:t>
      </w:r>
      <w:r>
        <w:rPr>
          <w:b/>
          <w:i w:val="0"/>
          <w:smallCaps w:val="0"/>
          <w:strike w:val="0"/>
          <w:sz w:val="22"/>
          <w:highlight w:val="cyan"/>
          <w:u w:val="single"/>
        </w:rPr>
        <w:t>S</w:t>
      </w:r>
      <w:r>
        <w:rPr>
          <w:b w:val="0"/>
          <w:i w:val="0"/>
          <w:smallCaps w:val="0"/>
          <w:strike w:val="0"/>
          <w:sz w:val="22"/>
          <w:u w:val="single"/>
        </w:rPr>
        <w:t>tates”—</w:t>
      </w:r>
      <w:r>
        <w:rPr>
          <w:b w:val="0"/>
          <w:i w:val="0"/>
          <w:smallCaps w:val="0"/>
          <w:strike w:val="0"/>
          <w:sz w:val="22"/>
          <w:highlight w:val="cyan"/>
          <w:u w:val="single"/>
        </w:rPr>
        <w:t>meaning</w:t>
      </w:r>
      <w:r>
        <w:rPr>
          <w:b w:val="0"/>
          <w:i w:val="0"/>
          <w:smallCaps w:val="0"/>
          <w:strike w:val="0"/>
          <w:sz w:val="22"/>
          <w:u w:val="single"/>
        </w:rPr>
        <w:t xml:space="preserve"> the </w:t>
      </w:r>
      <w:r>
        <w:rPr>
          <w:b/>
          <w:i w:val="0"/>
          <w:smallCaps w:val="0"/>
          <w:strike w:val="0"/>
          <w:sz w:val="22"/>
          <w:u w:val="single"/>
        </w:rPr>
        <w:t xml:space="preserve">several </w:t>
      </w:r>
      <w:r>
        <w:rPr>
          <w:b/>
          <w:i w:val="0"/>
          <w:smallCaps w:val="0"/>
          <w:strike w:val="0"/>
          <w:sz w:val="22"/>
          <w:highlight w:val="cyan"/>
          <w:u w:val="single"/>
        </w:rPr>
        <w:t>states</w:t>
      </w:r>
      <w:r>
        <w:rPr>
          <w:b w:val="0"/>
          <w:i w:val="0"/>
          <w:smallCaps w:val="0"/>
          <w:strike w:val="0"/>
          <w:sz w:val="22"/>
          <w:u w:val="single"/>
        </w:rPr>
        <w:t xml:space="preserve"> and territories</w:t>
      </w:r>
      <w:r>
        <w:rPr>
          <w:b w:val="0"/>
          <w:i w:val="0"/>
          <w:smallCaps w:val="0"/>
          <w:strike w:val="0"/>
          <w:sz w:val="16"/>
          <w:u w:val="none"/>
        </w:rPr>
        <w:t>—when applied to subsection (f)(1), gives Rhode Island a cause of action. Claimants also argue that the provisions in subsection (f)(4), measuring liability to include costs incurred by a state government, and subsection (f)(5), requiring a state's authorized representative to act as a trustee to recover costs of restoration, confirm that states have standing under section 311 of the FWPCA to sue the shipowner.</w:t>
      </w:r>
    </w:p>
    <w:p>
      <w:pPr>
        <w:spacing w:after="60"/>
      </w:pPr>
      <w:r>
        <w:rPr>
          <w:b w:val="0"/>
          <w:i w:val="0"/>
          <w:smallCaps w:val="0"/>
          <w:strike w:val="0"/>
          <w:sz w:val="16"/>
          <w:u w:val="none"/>
        </w:rPr>
        <w:t xml:space="preserve">2 But </w:t>
      </w:r>
      <w:r>
        <w:rPr>
          <w:b w:val="0"/>
          <w:i w:val="0"/>
          <w:smallCaps w:val="0"/>
          <w:strike w:val="0"/>
          <w:sz w:val="22"/>
          <w:u w:val="single"/>
        </w:rPr>
        <w:t xml:space="preserve">this </w:t>
      </w:r>
      <w:r>
        <w:rPr>
          <w:b/>
          <w:i w:val="0"/>
          <w:smallCaps w:val="0"/>
          <w:strike w:val="0"/>
          <w:sz w:val="22"/>
          <w:u w:val="single"/>
        </w:rPr>
        <w:t>selective</w:t>
      </w:r>
      <w:r>
        <w:rPr>
          <w:b w:val="0"/>
          <w:i w:val="0"/>
          <w:smallCaps w:val="0"/>
          <w:strike w:val="0"/>
          <w:sz w:val="22"/>
          <w:u w:val="single"/>
        </w:rPr>
        <w:t xml:space="preserve"> reading of the statute </w:t>
      </w:r>
      <w:r>
        <w:rPr>
          <w:b/>
          <w:i w:val="0"/>
          <w:smallCaps w:val="0"/>
          <w:strike w:val="0"/>
          <w:sz w:val="22"/>
          <w:highlight w:val="cyan"/>
          <w:u w:val="single"/>
        </w:rPr>
        <w:t>misses</w:t>
      </w:r>
      <w:r>
        <w:rPr>
          <w:b w:val="0"/>
          <w:i w:val="0"/>
          <w:smallCaps w:val="0"/>
          <w:strike w:val="0"/>
          <w:sz w:val="22"/>
          <w:u w:val="single"/>
        </w:rPr>
        <w:t xml:space="preserve"> more </w:t>
      </w:r>
      <w:r>
        <w:rPr>
          <w:b/>
          <w:i w:val="0"/>
          <w:smallCaps w:val="0"/>
          <w:strike w:val="0"/>
          <w:sz w:val="22"/>
          <w:u w:val="single"/>
        </w:rPr>
        <w:t xml:space="preserve">direct </w:t>
      </w:r>
      <w:r>
        <w:rPr>
          <w:b/>
          <w:i w:val="0"/>
          <w:smallCaps w:val="0"/>
          <w:strike w:val="0"/>
          <w:sz w:val="22"/>
          <w:highlight w:val="cyan"/>
          <w:u w:val="single"/>
        </w:rPr>
        <w:t>language</w:t>
      </w:r>
      <w:r>
        <w:rPr>
          <w:b w:val="0"/>
          <w:i w:val="0"/>
          <w:smallCaps w:val="0"/>
          <w:strike w:val="0"/>
          <w:sz w:val="22"/>
          <w:highlight w:val="cyan"/>
          <w:u w:val="single"/>
        </w:rPr>
        <w:t xml:space="preserve"> that </w:t>
      </w:r>
      <w:r>
        <w:rPr>
          <w:b/>
          <w:i w:val="0"/>
          <w:smallCaps w:val="0"/>
          <w:strike w:val="0"/>
          <w:sz w:val="22"/>
          <w:highlight w:val="cyan"/>
          <w:u w:val="single"/>
        </w:rPr>
        <w:t>only</w:t>
      </w:r>
      <w:r>
        <w:rPr>
          <w:b w:val="0"/>
          <w:i w:val="0"/>
          <w:smallCaps w:val="0"/>
          <w:strike w:val="0"/>
          <w:sz w:val="22"/>
          <w:highlight w:val="cyan"/>
          <w:u w:val="single"/>
        </w:rPr>
        <w:t xml:space="preserve"> supports</w:t>
      </w:r>
      <w:r>
        <w:rPr>
          <w:b w:val="0"/>
          <w:i w:val="0"/>
          <w:smallCaps w:val="0"/>
          <w:strike w:val="0"/>
          <w:sz w:val="16"/>
          <w:u w:val="none"/>
        </w:rPr>
        <w:t xml:space="preserve"> a cause of action by </w:t>
      </w:r>
      <w:r>
        <w:rPr>
          <w:b w:val="0"/>
          <w:i w:val="0"/>
          <w:smallCaps w:val="0"/>
          <w:strike w:val="0"/>
          <w:sz w:val="22"/>
          <w:highlight w:val="cyan"/>
          <w:u w:val="single"/>
        </w:rPr>
        <w:t xml:space="preserve">the </w:t>
      </w:r>
      <w:r>
        <w:rPr>
          <w:b/>
          <w:i w:val="0"/>
          <w:smallCaps w:val="0"/>
          <w:strike w:val="0"/>
          <w:sz w:val="22"/>
          <w:highlight w:val="cyan"/>
          <w:u w:val="single"/>
        </w:rPr>
        <w:t>fed</w:t>
      </w:r>
      <w:r>
        <w:rPr>
          <w:b w:val="0"/>
          <w:i w:val="0"/>
          <w:smallCaps w:val="0"/>
          <w:strike w:val="0"/>
          <w:sz w:val="22"/>
          <w:u w:val="single"/>
        </w:rPr>
        <w:t>eral government</w:t>
      </w:r>
      <w:r>
        <w:rPr>
          <w:b w:val="0"/>
          <w:i w:val="0"/>
          <w:smallCaps w:val="0"/>
          <w:strike w:val="0"/>
          <w:sz w:val="16"/>
          <w:u w:val="none"/>
        </w:rPr>
        <w:t xml:space="preserve">. The language of the statute must be given its ordinary meaning, absent clear legislative intent to the contrary, Consumer Product Safety Comm'n v. GTE Sylvania, Inc., 447 U.S. 102, 108, 100 S.Ct. 2051, 2056, 64 L.Ed.2d 766 (1980), and this Court must be chary of reading into the statute any remedies that are not expressly stated there, Middlesex County Sewerage Auth. v. Nat'l Sea Clammers Ass'n, 453 U.S. 1, 14–15, 18, 101 S.Ct. 2615, 2623–24, 2625, 69 L.Ed.2d 435 (1981). A common-sense reading of the statute compels the conclusion that states have no standing to sue under section 311. Subsection (f)(1) plainly makes shipowners and operators liable only “to the United States Government” for costs incurred during the removal of oil. 33 U.S.C. § 1321(f)(1) (1988). The last sentence of this section adds: “The United States may also bring an action against the owner or operator of such vessel....” Id. “United States Government” and </w:t>
      </w:r>
      <w:r>
        <w:rPr>
          <w:b w:val="0"/>
          <w:i w:val="0"/>
          <w:smallCaps w:val="0"/>
          <w:strike w:val="0"/>
          <w:sz w:val="22"/>
          <w:highlight w:val="cyan"/>
          <w:u w:val="single"/>
        </w:rPr>
        <w:t>“</w:t>
      </w:r>
      <w:r>
        <w:rPr>
          <w:b/>
          <w:i w:val="0"/>
          <w:smallCaps w:val="0"/>
          <w:strike w:val="0"/>
          <w:sz w:val="22"/>
          <w:highlight w:val="cyan"/>
          <w:u w:val="single"/>
        </w:rPr>
        <w:t>U</w:t>
      </w:r>
      <w:r>
        <w:rPr>
          <w:b w:val="0"/>
          <w:i w:val="0"/>
          <w:smallCaps w:val="0"/>
          <w:strike w:val="0"/>
          <w:sz w:val="22"/>
          <w:u w:val="single"/>
        </w:rPr>
        <w:t xml:space="preserve">nited </w:t>
      </w:r>
      <w:r>
        <w:rPr>
          <w:b/>
          <w:i w:val="0"/>
          <w:smallCaps w:val="0"/>
          <w:strike w:val="0"/>
          <w:sz w:val="22"/>
          <w:highlight w:val="cyan"/>
          <w:u w:val="single"/>
        </w:rPr>
        <w:t>S</w:t>
      </w:r>
      <w:r>
        <w:rPr>
          <w:b w:val="0"/>
          <w:i w:val="0"/>
          <w:smallCaps w:val="0"/>
          <w:strike w:val="0"/>
          <w:sz w:val="22"/>
          <w:u w:val="single"/>
        </w:rPr>
        <w:t xml:space="preserve">tates” </w:t>
      </w:r>
      <w:r>
        <w:rPr>
          <w:b w:val="0"/>
          <w:i w:val="0"/>
          <w:smallCaps w:val="0"/>
          <w:strike w:val="0"/>
          <w:sz w:val="22"/>
          <w:highlight w:val="cyan"/>
          <w:u w:val="single"/>
        </w:rPr>
        <w:t>mean</w:t>
      </w:r>
      <w:r>
        <w:rPr>
          <w:b w:val="0"/>
          <w:i w:val="0"/>
          <w:smallCaps w:val="0"/>
          <w:strike w:val="0"/>
          <w:sz w:val="22"/>
          <w:u w:val="single"/>
        </w:rPr>
        <w:t xml:space="preserve"> the </w:t>
      </w:r>
      <w:r>
        <w:rPr>
          <w:b/>
          <w:i w:val="0"/>
          <w:smallCaps w:val="0"/>
          <w:strike w:val="0"/>
          <w:sz w:val="22"/>
          <w:highlight w:val="cyan"/>
          <w:u w:val="single"/>
        </w:rPr>
        <w:t>fed</w:t>
      </w:r>
      <w:r>
        <w:rPr>
          <w:b w:val="0"/>
          <w:i w:val="0"/>
          <w:smallCaps w:val="0"/>
          <w:strike w:val="0"/>
          <w:sz w:val="22"/>
          <w:u w:val="single"/>
        </w:rPr>
        <w:t xml:space="preserve">eral </w:t>
      </w:r>
      <w:r>
        <w:rPr>
          <w:b/>
          <w:i w:val="0"/>
          <w:smallCaps w:val="0"/>
          <w:strike w:val="0"/>
          <w:sz w:val="22"/>
          <w:highlight w:val="cyan"/>
          <w:u w:val="single"/>
        </w:rPr>
        <w:t>gov</w:t>
      </w:r>
      <w:r>
        <w:rPr>
          <w:b w:val="0"/>
          <w:i w:val="0"/>
          <w:smallCaps w:val="0"/>
          <w:strike w:val="0"/>
          <w:sz w:val="22"/>
          <w:u w:val="single"/>
        </w:rPr>
        <w:t>ernment</w:t>
      </w:r>
      <w:r>
        <w:rPr>
          <w:b w:val="0"/>
          <w:i w:val="0"/>
          <w:smallCaps w:val="0"/>
          <w:strike w:val="0"/>
          <w:sz w:val="16"/>
          <w:u w:val="none"/>
        </w:rPr>
        <w:t>.</w:t>
      </w:r>
    </w:p>
    <w:p>
      <w:pPr>
        <w:spacing w:after="60"/>
      </w:pPr>
      <w:r>
        <w:rPr>
          <w:b w:val="0"/>
          <w:i w:val="0"/>
          <w:smallCaps w:val="0"/>
          <w:strike w:val="0"/>
          <w:sz w:val="22"/>
          <w:u w:val="single"/>
        </w:rPr>
        <w:t xml:space="preserve">The </w:t>
      </w:r>
      <w:r>
        <w:rPr>
          <w:b/>
          <w:i w:val="0"/>
          <w:smallCaps w:val="0"/>
          <w:strike w:val="0"/>
          <w:sz w:val="22"/>
          <w:u w:val="single"/>
        </w:rPr>
        <w:t>broad definition</w:t>
      </w:r>
      <w:r>
        <w:rPr>
          <w:b w:val="0"/>
          <w:i w:val="0"/>
          <w:smallCaps w:val="0"/>
          <w:strike w:val="0"/>
          <w:sz w:val="22"/>
          <w:u w:val="single"/>
        </w:rPr>
        <w:t xml:space="preserve"> of “</w:t>
      </w:r>
      <w:r>
        <w:rPr>
          <w:b/>
          <w:i w:val="0"/>
          <w:smallCaps w:val="0"/>
          <w:strike w:val="0"/>
          <w:sz w:val="22"/>
          <w:u w:val="single"/>
        </w:rPr>
        <w:t>U</w:t>
      </w:r>
      <w:r>
        <w:rPr>
          <w:b w:val="0"/>
          <w:i w:val="0"/>
          <w:smallCaps w:val="0"/>
          <w:strike w:val="0"/>
          <w:sz w:val="22"/>
          <w:u w:val="single"/>
        </w:rPr>
        <w:t xml:space="preserve">nited </w:t>
      </w:r>
      <w:r>
        <w:rPr>
          <w:b/>
          <w:i w:val="0"/>
          <w:smallCaps w:val="0"/>
          <w:strike w:val="0"/>
          <w:sz w:val="22"/>
          <w:u w:val="single"/>
        </w:rPr>
        <w:t>S</w:t>
      </w:r>
      <w:r>
        <w:rPr>
          <w:b w:val="0"/>
          <w:i w:val="0"/>
          <w:smallCaps w:val="0"/>
          <w:strike w:val="0"/>
          <w:sz w:val="22"/>
          <w:u w:val="single"/>
        </w:rPr>
        <w:t>tates”</w:t>
      </w:r>
      <w:r>
        <w:rPr>
          <w:b w:val="0"/>
          <w:i w:val="0"/>
          <w:smallCaps w:val="0"/>
          <w:strike w:val="0"/>
          <w:sz w:val="16"/>
          <w:u w:val="none"/>
        </w:rPr>
        <w:t xml:space="preserve"> in subsection (a)(5)—</w:t>
      </w:r>
      <w:r>
        <w:rPr>
          <w:b w:val="0"/>
          <w:i w:val="0"/>
          <w:smallCaps w:val="0"/>
          <w:strike w:val="0"/>
          <w:sz w:val="22"/>
          <w:u w:val="single"/>
        </w:rPr>
        <w:t>which includes the several states</w:t>
      </w:r>
      <w:r>
        <w:rPr>
          <w:b w:val="0"/>
          <w:i w:val="0"/>
          <w:smallCaps w:val="0"/>
          <w:strike w:val="0"/>
          <w:sz w:val="16"/>
          <w:u w:val="none"/>
        </w:rPr>
        <w:t xml:space="preserve"> but conspicuously leaves out the federal government—</w:t>
      </w:r>
      <w:r>
        <w:rPr>
          <w:b w:val="0"/>
          <w:i w:val="0"/>
          <w:smallCaps w:val="0"/>
          <w:strike w:val="0"/>
          <w:sz w:val="22"/>
          <w:u w:val="single"/>
        </w:rPr>
        <w:t xml:space="preserve">would make </w:t>
      </w:r>
      <w:r>
        <w:rPr>
          <w:b/>
          <w:i w:val="0"/>
          <w:smallCaps w:val="0"/>
          <w:strike w:val="0"/>
          <w:sz w:val="22"/>
          <w:u w:val="single"/>
        </w:rPr>
        <w:t>little sense</w:t>
      </w:r>
      <w:r>
        <w:rPr>
          <w:b w:val="0"/>
          <w:i w:val="0"/>
          <w:smallCaps w:val="0"/>
          <w:strike w:val="0"/>
          <w:sz w:val="16"/>
          <w:u w:val="none"/>
        </w:rPr>
        <w:t xml:space="preserve"> if it were applied to this context, as Claimants propose. To apply the broad definition set forth in subsection (a)(5) wherever the term “United States” appears in section 311 would be folly. For example, “district court of the United States,” 33 U.S.C. § 1321(b)(6)(B) (1988), can mean nothing but the federal district courts. </w:t>
      </w:r>
      <w:r>
        <w:rPr>
          <w:b w:val="0"/>
          <w:i w:val="0"/>
          <w:smallCaps w:val="0"/>
          <w:strike w:val="0"/>
          <w:sz w:val="22"/>
          <w:u w:val="single"/>
        </w:rPr>
        <w:t>The meaning of “</w:t>
      </w:r>
      <w:r>
        <w:rPr>
          <w:b/>
          <w:i w:val="0"/>
          <w:smallCaps w:val="0"/>
          <w:strike w:val="0"/>
          <w:sz w:val="22"/>
          <w:u w:val="single"/>
        </w:rPr>
        <w:t>U</w:t>
      </w:r>
      <w:r>
        <w:rPr>
          <w:b w:val="0"/>
          <w:i w:val="0"/>
          <w:smallCaps w:val="0"/>
          <w:strike w:val="0"/>
          <w:sz w:val="22"/>
          <w:u w:val="single"/>
        </w:rPr>
        <w:t xml:space="preserve">nited </w:t>
      </w:r>
      <w:r>
        <w:rPr>
          <w:b/>
          <w:i w:val="0"/>
          <w:smallCaps w:val="0"/>
          <w:strike w:val="0"/>
          <w:sz w:val="22"/>
          <w:u w:val="single"/>
        </w:rPr>
        <w:t>S</w:t>
      </w:r>
      <w:r>
        <w:rPr>
          <w:b w:val="0"/>
          <w:i w:val="0"/>
          <w:smallCaps w:val="0"/>
          <w:strike w:val="0"/>
          <w:sz w:val="22"/>
          <w:u w:val="single"/>
        </w:rPr>
        <w:t>tates”</w:t>
      </w:r>
      <w:r>
        <w:rPr>
          <w:b w:val="0"/>
          <w:i w:val="0"/>
          <w:smallCaps w:val="0"/>
          <w:strike w:val="0"/>
          <w:sz w:val="16"/>
          <w:u w:val="none"/>
        </w:rPr>
        <w:t xml:space="preserve"> in this context </w:t>
      </w:r>
      <w:r>
        <w:rPr>
          <w:b w:val="0"/>
          <w:i w:val="0"/>
          <w:smallCaps w:val="0"/>
          <w:strike w:val="0"/>
          <w:sz w:val="22"/>
          <w:u w:val="single"/>
        </w:rPr>
        <w:t xml:space="preserve">is </w:t>
      </w:r>
      <w:r>
        <w:rPr>
          <w:b/>
          <w:i w:val="0"/>
          <w:smallCaps w:val="0"/>
          <w:strike w:val="0"/>
          <w:sz w:val="22"/>
          <w:u w:val="single"/>
        </w:rPr>
        <w:t>obvious</w:t>
      </w:r>
      <w:r>
        <w:rPr>
          <w:b w:val="0"/>
          <w:i w:val="0"/>
          <w:smallCaps w:val="0"/>
          <w:strike w:val="0"/>
          <w:sz w:val="22"/>
          <w:u w:val="single"/>
        </w:rPr>
        <w:t xml:space="preserve">, and </w:t>
      </w:r>
      <w:r>
        <w:rPr>
          <w:b/>
          <w:i w:val="0"/>
          <w:smallCaps w:val="0"/>
          <w:strike w:val="0"/>
          <w:sz w:val="22"/>
          <w:u w:val="single"/>
        </w:rPr>
        <w:t>no one</w:t>
      </w:r>
      <w:r>
        <w:rPr>
          <w:b w:val="0"/>
          <w:i w:val="0"/>
          <w:smallCaps w:val="0"/>
          <w:strike w:val="0"/>
          <w:sz w:val="22"/>
          <w:u w:val="single"/>
        </w:rPr>
        <w:t xml:space="preserve"> would suggest that it includes the states</w:t>
      </w:r>
      <w:r>
        <w:rPr>
          <w:b w:val="0"/>
          <w:i w:val="0"/>
          <w:smallCaps w:val="0"/>
          <w:strike w:val="0"/>
          <w:sz w:val="16"/>
          <w:u w:val="none"/>
        </w:rPr>
        <w:t>.</w:t>
      </w:r>
    </w:p>
    <w:p>
      <w:pPr>
        <w:spacing w:after="60"/>
      </w:pPr>
      <w:r>
        <w:rPr>
          <w:b w:val="0"/>
          <w:i w:val="0"/>
          <w:smallCaps w:val="0"/>
          <w:strike w:val="0"/>
          <w:sz w:val="16"/>
          <w:u w:val="none"/>
        </w:rPr>
        <w:t>The broad definition in subsection (a)(5) relates, not to the courts empowered with jurisdiction or the sovereigns that have standing to sue, but to the geographical scope of potential liability under section 311 of the FWPCA. See, e.g., 33 U.S.C. §§ 1321(a)(10), (a)(11), (a)(15), (a)(16), (b)(1), (b)(2)(A), (b)(3), and (b)(4). Thus, an oil spill in the Trust Territory of the Pacific Islands may touch the “United States” and create liability under the FWPCA, but the Trust *724 Territory of the Pacific Islands must rely on the “United States Government”—the appropriate federal authorities—to bring suit under Section 311.</w:t>
      </w:r>
    </w:p>
    <w:p>
      <w:pPr>
        <w:spacing w:after="60"/>
      </w:pPr>
      <w:r>
        <w:rPr>
          <w:b w:val="0"/>
          <w:i w:val="0"/>
          <w:smallCaps w:val="0"/>
          <w:strike w:val="0"/>
          <w:sz w:val="16"/>
          <w:u w:val="none"/>
        </w:rPr>
        <w:t xml:space="preserve">Congress could have given the states explicit, separate authority to bring suit under section 311, but it did not. In other parts of this section, </w:t>
      </w:r>
      <w:r>
        <w:rPr>
          <w:b/>
          <w:i w:val="0"/>
          <w:smallCaps w:val="0"/>
          <w:strike w:val="0"/>
          <w:sz w:val="22"/>
          <w:highlight w:val="cyan"/>
          <w:u w:val="single"/>
        </w:rPr>
        <w:t>Congress</w:t>
      </w:r>
      <w:r>
        <w:rPr>
          <w:b w:val="0"/>
          <w:i w:val="0"/>
          <w:smallCaps w:val="0"/>
          <w:strike w:val="0"/>
          <w:sz w:val="22"/>
          <w:highlight w:val="cyan"/>
          <w:u w:val="single"/>
        </w:rPr>
        <w:t xml:space="preserve"> recognized</w:t>
      </w:r>
      <w:r>
        <w:rPr>
          <w:b w:val="0"/>
          <w:i w:val="0"/>
          <w:smallCaps w:val="0"/>
          <w:strike w:val="0"/>
          <w:sz w:val="22"/>
          <w:u w:val="single"/>
        </w:rPr>
        <w:t xml:space="preserve"> a </w:t>
      </w:r>
      <w:r>
        <w:rPr>
          <w:b/>
          <w:i w:val="0"/>
          <w:smallCaps w:val="0"/>
          <w:strike w:val="0"/>
          <w:sz w:val="22"/>
          <w:highlight w:val="cyan"/>
          <w:u w:val="single"/>
        </w:rPr>
        <w:t>distinction</w:t>
      </w:r>
      <w:r>
        <w:rPr>
          <w:b w:val="0"/>
          <w:i w:val="0"/>
          <w:smallCaps w:val="0"/>
          <w:strike w:val="0"/>
          <w:sz w:val="22"/>
          <w:highlight w:val="cyan"/>
          <w:u w:val="single"/>
        </w:rPr>
        <w:t xml:space="preserve"> between</w:t>
      </w:r>
      <w:r>
        <w:rPr>
          <w:b w:val="0"/>
          <w:i w:val="0"/>
          <w:smallCaps w:val="0"/>
          <w:strike w:val="0"/>
          <w:sz w:val="22"/>
          <w:u w:val="single"/>
        </w:rPr>
        <w:t xml:space="preserve"> the </w:t>
      </w:r>
      <w:r>
        <w:rPr>
          <w:b w:val="0"/>
          <w:i w:val="0"/>
          <w:smallCaps w:val="0"/>
          <w:strike w:val="0"/>
          <w:sz w:val="22"/>
          <w:highlight w:val="cyan"/>
          <w:u w:val="single"/>
        </w:rPr>
        <w:t>“</w:t>
      </w:r>
      <w:r>
        <w:rPr>
          <w:b/>
          <w:i w:val="0"/>
          <w:smallCaps w:val="0"/>
          <w:strike w:val="0"/>
          <w:sz w:val="22"/>
          <w:highlight w:val="cyan"/>
          <w:u w:val="single"/>
        </w:rPr>
        <w:t>U</w:t>
      </w:r>
      <w:r>
        <w:rPr>
          <w:b w:val="0"/>
          <w:i w:val="0"/>
          <w:smallCaps w:val="0"/>
          <w:strike w:val="0"/>
          <w:sz w:val="22"/>
          <w:u w:val="single"/>
        </w:rPr>
        <w:t xml:space="preserve">nited </w:t>
      </w:r>
      <w:r>
        <w:rPr>
          <w:b/>
          <w:i w:val="0"/>
          <w:smallCaps w:val="0"/>
          <w:strike w:val="0"/>
          <w:sz w:val="22"/>
          <w:highlight w:val="cyan"/>
          <w:u w:val="single"/>
        </w:rPr>
        <w:t>S</w:t>
      </w:r>
      <w:r>
        <w:rPr>
          <w:b w:val="0"/>
          <w:i w:val="0"/>
          <w:smallCaps w:val="0"/>
          <w:strike w:val="0"/>
          <w:sz w:val="22"/>
          <w:u w:val="single"/>
        </w:rPr>
        <w:t xml:space="preserve">tates” </w:t>
      </w:r>
      <w:r>
        <w:rPr>
          <w:b/>
          <w:i w:val="0"/>
          <w:smallCaps w:val="0"/>
          <w:strike w:val="0"/>
          <w:sz w:val="22"/>
          <w:highlight w:val="cyan"/>
          <w:u w:val="single"/>
        </w:rPr>
        <w:t>and</w:t>
      </w:r>
      <w:r>
        <w:rPr>
          <w:b w:val="0"/>
          <w:i w:val="0"/>
          <w:smallCaps w:val="0"/>
          <w:strike w:val="0"/>
          <w:sz w:val="22"/>
          <w:highlight w:val="cyan"/>
          <w:u w:val="single"/>
        </w:rPr>
        <w:t xml:space="preserve"> “a State</w:t>
      </w:r>
      <w:r>
        <w:rPr>
          <w:b w:val="0"/>
          <w:i w:val="0"/>
          <w:smallCaps w:val="0"/>
          <w:strike w:val="0"/>
          <w:sz w:val="22"/>
          <w:u w:val="single"/>
        </w:rPr>
        <w:t xml:space="preserve"> or political subdivision thereof.”</w:t>
      </w:r>
      <w:r>
        <w:rPr>
          <w:b w:val="0"/>
          <w:i w:val="0"/>
          <w:smallCaps w:val="0"/>
          <w:strike w:val="0"/>
          <w:sz w:val="16"/>
          <w:u w:val="none"/>
        </w:rPr>
        <w:t xml:space="preserve"> E.g., 33 U.S.C. § 1321(a)(4) (1988). </w:t>
      </w:r>
      <w:r>
        <w:rPr>
          <w:b w:val="0"/>
          <w:i w:val="0"/>
          <w:smallCaps w:val="0"/>
          <w:strike w:val="0"/>
          <w:sz w:val="22"/>
          <w:u w:val="single"/>
        </w:rPr>
        <w:t>This distinction indicates</w:t>
      </w:r>
      <w:r>
        <w:rPr>
          <w:b w:val="0"/>
          <w:i w:val="0"/>
          <w:smallCaps w:val="0"/>
          <w:strike w:val="0"/>
          <w:sz w:val="16"/>
          <w:u w:val="none"/>
        </w:rPr>
        <w:t xml:space="preserve"> that, subsection (a)(5) notwithstanding, </w:t>
      </w:r>
      <w:r>
        <w:rPr>
          <w:b w:val="0"/>
          <w:i w:val="0"/>
          <w:smallCaps w:val="0"/>
          <w:strike w:val="0"/>
          <w:sz w:val="22"/>
          <w:u w:val="single"/>
        </w:rPr>
        <w:t xml:space="preserve">Congress did </w:t>
      </w:r>
      <w:r>
        <w:rPr>
          <w:b/>
          <w:i w:val="0"/>
          <w:smallCaps w:val="0"/>
          <w:strike w:val="0"/>
          <w:sz w:val="22"/>
          <w:u w:val="single"/>
        </w:rPr>
        <w:t>not intend</w:t>
      </w:r>
      <w:r>
        <w:rPr>
          <w:b w:val="0"/>
          <w:i w:val="0"/>
          <w:smallCaps w:val="0"/>
          <w:strike w:val="0"/>
          <w:sz w:val="22"/>
          <w:u w:val="single"/>
        </w:rPr>
        <w:t xml:space="preserve"> to include the several </w:t>
      </w:r>
      <w:r>
        <w:rPr>
          <w:b/>
          <w:i w:val="0"/>
          <w:smallCaps w:val="0"/>
          <w:strike w:val="0"/>
          <w:sz w:val="22"/>
          <w:u w:val="single"/>
        </w:rPr>
        <w:t>states</w:t>
      </w:r>
      <w:r>
        <w:rPr>
          <w:b w:val="0"/>
          <w:i w:val="0"/>
          <w:smallCaps w:val="0"/>
          <w:strike w:val="0"/>
          <w:sz w:val="22"/>
          <w:u w:val="single"/>
        </w:rPr>
        <w:t xml:space="preserve"> every time it used</w:t>
      </w:r>
      <w:r>
        <w:rPr>
          <w:b w:val="0"/>
          <w:i w:val="0"/>
          <w:smallCaps w:val="0"/>
          <w:strike w:val="0"/>
          <w:sz w:val="16"/>
          <w:u w:val="none"/>
        </w:rPr>
        <w:t xml:space="preserve"> the words </w:t>
      </w:r>
      <w:r>
        <w:rPr>
          <w:b w:val="0"/>
          <w:i w:val="0"/>
          <w:smallCaps w:val="0"/>
          <w:strike w:val="0"/>
          <w:sz w:val="22"/>
          <w:u w:val="single"/>
        </w:rPr>
        <w:t>“</w:t>
      </w:r>
      <w:r>
        <w:rPr>
          <w:b/>
          <w:i w:val="0"/>
          <w:smallCaps w:val="0"/>
          <w:strike w:val="0"/>
          <w:sz w:val="22"/>
          <w:u w:val="single"/>
        </w:rPr>
        <w:t>U</w:t>
      </w:r>
      <w:r>
        <w:rPr>
          <w:b w:val="0"/>
          <w:i w:val="0"/>
          <w:smallCaps w:val="0"/>
          <w:strike w:val="0"/>
          <w:sz w:val="22"/>
          <w:u w:val="single"/>
        </w:rPr>
        <w:t xml:space="preserve">nited </w:t>
      </w:r>
      <w:r>
        <w:rPr>
          <w:b/>
          <w:i w:val="0"/>
          <w:smallCaps w:val="0"/>
          <w:strike w:val="0"/>
          <w:sz w:val="22"/>
          <w:u w:val="single"/>
        </w:rPr>
        <w:t>S</w:t>
      </w:r>
      <w:r>
        <w:rPr>
          <w:b w:val="0"/>
          <w:i w:val="0"/>
          <w:smallCaps w:val="0"/>
          <w:strike w:val="0"/>
          <w:sz w:val="22"/>
          <w:u w:val="single"/>
        </w:rPr>
        <w:t>tates”</w:t>
      </w:r>
      <w:r>
        <w:rPr>
          <w:b w:val="0"/>
          <w:i w:val="0"/>
          <w:smallCaps w:val="0"/>
          <w:strike w:val="0"/>
          <w:sz w:val="16"/>
          <w:u w:val="none"/>
        </w:rPr>
        <w:t xml:space="preserve"> in section 311. </w:t>
      </w:r>
      <w:r>
        <w:rPr>
          <w:b w:val="0"/>
          <w:i w:val="0"/>
          <w:smallCaps w:val="0"/>
          <w:strike w:val="0"/>
          <w:sz w:val="22"/>
          <w:highlight w:val="cyan"/>
          <w:u w:val="single"/>
        </w:rPr>
        <w:t xml:space="preserve">When Congress </w:t>
      </w:r>
      <w:r>
        <w:rPr>
          <w:b/>
          <w:i w:val="0"/>
          <w:smallCaps w:val="0"/>
          <w:strike w:val="0"/>
          <w:sz w:val="22"/>
          <w:highlight w:val="cyan"/>
          <w:u w:val="single"/>
        </w:rPr>
        <w:t>intended</w:t>
      </w:r>
      <w:r>
        <w:rPr>
          <w:b w:val="0"/>
          <w:i w:val="0"/>
          <w:smallCaps w:val="0"/>
          <w:strike w:val="0"/>
          <w:sz w:val="22"/>
          <w:highlight w:val="cyan"/>
          <w:u w:val="single"/>
        </w:rPr>
        <w:t xml:space="preserve"> to include</w:t>
      </w:r>
      <w:r>
        <w:rPr>
          <w:b w:val="0"/>
          <w:i w:val="0"/>
          <w:smallCaps w:val="0"/>
          <w:strike w:val="0"/>
          <w:sz w:val="16"/>
          <w:u w:val="none"/>
        </w:rPr>
        <w:t xml:space="preserve"> the governments of </w:t>
      </w:r>
      <w:r>
        <w:rPr>
          <w:b w:val="0"/>
          <w:i w:val="0"/>
          <w:smallCaps w:val="0"/>
          <w:strike w:val="0"/>
          <w:sz w:val="22"/>
          <w:highlight w:val="cyan"/>
          <w:u w:val="single"/>
        </w:rPr>
        <w:t>the</w:t>
      </w:r>
      <w:r>
        <w:rPr>
          <w:b w:val="0"/>
          <w:i w:val="0"/>
          <w:smallCaps w:val="0"/>
          <w:strike w:val="0"/>
          <w:sz w:val="22"/>
          <w:u w:val="single"/>
        </w:rPr>
        <w:t xml:space="preserve"> </w:t>
      </w:r>
      <w:r>
        <w:rPr>
          <w:b/>
          <w:i w:val="0"/>
          <w:smallCaps w:val="0"/>
          <w:strike w:val="0"/>
          <w:sz w:val="22"/>
          <w:u w:val="single"/>
        </w:rPr>
        <w:t xml:space="preserve">several </w:t>
      </w:r>
      <w:r>
        <w:rPr>
          <w:b/>
          <w:i w:val="0"/>
          <w:smallCaps w:val="0"/>
          <w:strike w:val="0"/>
          <w:sz w:val="22"/>
          <w:highlight w:val="cyan"/>
          <w:u w:val="single"/>
        </w:rPr>
        <w:t>states</w:t>
      </w:r>
      <w:r>
        <w:rPr>
          <w:b w:val="0"/>
          <w:i w:val="0"/>
          <w:smallCaps w:val="0"/>
          <w:strike w:val="0"/>
          <w:sz w:val="22"/>
          <w:highlight w:val="cyan"/>
          <w:u w:val="single"/>
        </w:rPr>
        <w:t xml:space="preserve">, it </w:t>
      </w:r>
      <w:r>
        <w:rPr>
          <w:b/>
          <w:i w:val="0"/>
          <w:smallCaps w:val="0"/>
          <w:strike w:val="0"/>
          <w:sz w:val="22"/>
          <w:highlight w:val="cyan"/>
          <w:u w:val="single"/>
        </w:rPr>
        <w:t>explicitly</w:t>
      </w:r>
      <w:r>
        <w:rPr>
          <w:b w:val="0"/>
          <w:i w:val="0"/>
          <w:smallCaps w:val="0"/>
          <w:strike w:val="0"/>
          <w:sz w:val="22"/>
          <w:highlight w:val="cyan"/>
          <w:u w:val="single"/>
        </w:rPr>
        <w:t xml:space="preserve"> spoke</w:t>
      </w:r>
      <w:r>
        <w:rPr>
          <w:b w:val="0"/>
          <w:i w:val="0"/>
          <w:smallCaps w:val="0"/>
          <w:strike w:val="0"/>
          <w:sz w:val="22"/>
          <w:u w:val="single"/>
        </w:rPr>
        <w:t xml:space="preserve"> of states </w:t>
      </w:r>
      <w:r>
        <w:rPr>
          <w:b/>
          <w:i w:val="0"/>
          <w:smallCaps w:val="0"/>
          <w:strike w:val="0"/>
          <w:sz w:val="22"/>
          <w:highlight w:val="cyan"/>
          <w:u w:val="single"/>
        </w:rPr>
        <w:t>in addition</w:t>
      </w:r>
      <w:r>
        <w:rPr>
          <w:b w:val="0"/>
          <w:i w:val="0"/>
          <w:smallCaps w:val="0"/>
          <w:strike w:val="0"/>
          <w:sz w:val="22"/>
          <w:highlight w:val="cyan"/>
          <w:u w:val="single"/>
        </w:rPr>
        <w:t xml:space="preserve"> to the “</w:t>
      </w:r>
      <w:r>
        <w:rPr>
          <w:b/>
          <w:i w:val="0"/>
          <w:smallCaps w:val="0"/>
          <w:strike w:val="0"/>
          <w:sz w:val="22"/>
          <w:highlight w:val="cyan"/>
          <w:u w:val="single"/>
        </w:rPr>
        <w:t>U</w:t>
      </w:r>
      <w:r>
        <w:rPr>
          <w:b w:val="0"/>
          <w:i w:val="0"/>
          <w:smallCaps w:val="0"/>
          <w:strike w:val="0"/>
          <w:sz w:val="22"/>
          <w:u w:val="single"/>
        </w:rPr>
        <w:t xml:space="preserve">nited </w:t>
      </w:r>
      <w:r>
        <w:rPr>
          <w:b/>
          <w:i w:val="0"/>
          <w:smallCaps w:val="0"/>
          <w:strike w:val="0"/>
          <w:sz w:val="22"/>
          <w:highlight w:val="cyan"/>
          <w:u w:val="single"/>
        </w:rPr>
        <w:t>S</w:t>
      </w:r>
      <w:r>
        <w:rPr>
          <w:b w:val="0"/>
          <w:i w:val="0"/>
          <w:smallCaps w:val="0"/>
          <w:strike w:val="0"/>
          <w:sz w:val="22"/>
          <w:u w:val="single"/>
        </w:rPr>
        <w:t>tates.”</w:t>
      </w:r>
    </w:p>
    <w:p>
      <w:pPr>
        <w:spacing w:after="60"/>
      </w:pPr>
      <w:r>
        <w:rPr>
          <w:b w:val="0"/>
          <w:i w:val="0"/>
          <w:smallCaps w:val="0"/>
          <w:strike w:val="0"/>
          <w:sz w:val="16"/>
          <w:u w:val="none"/>
        </w:rPr>
        <w:t>Additional linguistic clues support this conclusion. Congress conferred this right of action on a capitalized and singular United States “Government</w:t>
      </w:r>
      <w:r>
        <w:rPr>
          <w:b w:val="0"/>
          <w:i w:val="0"/>
          <w:smallCaps w:val="0"/>
          <w:strike w:val="0"/>
          <w:sz w:val="16"/>
          <w:u w:val="none"/>
        </w:rPr>
        <w:t>, ”</w:t>
      </w:r>
      <w:r>
        <w:rPr>
          <w:b w:val="0"/>
          <w:i w:val="0"/>
          <w:smallCaps w:val="0"/>
          <w:strike w:val="0"/>
          <w:sz w:val="16"/>
          <w:u w:val="none"/>
        </w:rPr>
        <w:t xml:space="preserve"> instead of the lower-case and plural “governments.” 33 U.S.C. § 1321(f)(1) (1988). Had Congress used the word “governments,” this arguably could have suggested an investment in the states of authority to bring suit under the FWPCA. But Congress chose a more restrictive word. Other usage of “United States” in section 311—such as the phrases “subject to the jurisdiction of the United States,” “United States citizenship,” and “international agreement to which the United States is a party,” 33 U.S.C. § 1321(a)(17) (1988)—provides even more evidence that Congress assigned “United States” its ordinary meaning, except when describing the geographic scope of liability under section 311.</w:t>
      </w:r>
    </w:p>
    <w:p>
      <w:pPr>
        <w:spacing w:after="60"/>
      </w:pPr>
      <w:r>
        <w:rPr>
          <w:b w:val="0"/>
          <w:i w:val="0"/>
          <w:smallCaps w:val="0"/>
          <w:strike w:val="0"/>
          <w:sz w:val="16"/>
          <w:u w:val="none"/>
        </w:rPr>
        <w:t xml:space="preserve">While ambiguity may exist, </w:t>
      </w:r>
      <w:r>
        <w:rPr>
          <w:b w:val="0"/>
          <w:i w:val="0"/>
          <w:smallCaps w:val="0"/>
          <w:strike w:val="0"/>
          <w:sz w:val="22"/>
          <w:highlight w:val="cyan"/>
          <w:u w:val="single"/>
        </w:rPr>
        <w:t>“</w:t>
      </w:r>
      <w:r>
        <w:rPr>
          <w:b/>
          <w:i w:val="0"/>
          <w:smallCaps w:val="0"/>
          <w:strike w:val="0"/>
          <w:sz w:val="22"/>
          <w:highlight w:val="cyan"/>
          <w:u w:val="single"/>
        </w:rPr>
        <w:t>U</w:t>
      </w:r>
      <w:r>
        <w:rPr>
          <w:b w:val="0"/>
          <w:i w:val="0"/>
          <w:smallCaps w:val="0"/>
          <w:strike w:val="0"/>
          <w:sz w:val="22"/>
          <w:u w:val="single"/>
        </w:rPr>
        <w:t xml:space="preserve">nited </w:t>
      </w:r>
      <w:r>
        <w:rPr>
          <w:b/>
          <w:i w:val="0"/>
          <w:smallCaps w:val="0"/>
          <w:strike w:val="0"/>
          <w:sz w:val="22"/>
          <w:highlight w:val="cyan"/>
          <w:u w:val="single"/>
        </w:rPr>
        <w:t>S</w:t>
      </w:r>
      <w:r>
        <w:rPr>
          <w:b w:val="0"/>
          <w:i w:val="0"/>
          <w:smallCaps w:val="0"/>
          <w:strike w:val="0"/>
          <w:sz w:val="22"/>
          <w:u w:val="single"/>
        </w:rPr>
        <w:t>tates”</w:t>
      </w:r>
      <w:r>
        <w:rPr>
          <w:b w:val="0"/>
          <w:i w:val="0"/>
          <w:smallCaps w:val="0"/>
          <w:strike w:val="0"/>
          <w:sz w:val="16"/>
          <w:u w:val="none"/>
        </w:rPr>
        <w:t xml:space="preserve"> and “United States Government” </w:t>
      </w:r>
      <w:r>
        <w:rPr>
          <w:b w:val="0"/>
          <w:i w:val="0"/>
          <w:smallCaps w:val="0"/>
          <w:strike w:val="0"/>
          <w:sz w:val="22"/>
          <w:u w:val="single"/>
        </w:rPr>
        <w:t xml:space="preserve">can </w:t>
      </w:r>
      <w:r>
        <w:rPr>
          <w:b w:val="0"/>
          <w:i w:val="0"/>
          <w:smallCaps w:val="0"/>
          <w:strike w:val="0"/>
          <w:sz w:val="22"/>
          <w:highlight w:val="cyan"/>
          <w:u w:val="single"/>
        </w:rPr>
        <w:t xml:space="preserve">mean </w:t>
      </w:r>
      <w:r>
        <w:rPr>
          <w:b/>
          <w:i w:val="0"/>
          <w:smallCaps w:val="0"/>
          <w:strike w:val="0"/>
          <w:sz w:val="22"/>
          <w:highlight w:val="cyan"/>
          <w:u w:val="single"/>
        </w:rPr>
        <w:t>only</w:t>
      </w:r>
      <w:r>
        <w:rPr>
          <w:b w:val="0"/>
          <w:i w:val="0"/>
          <w:smallCaps w:val="0"/>
          <w:strike w:val="0"/>
          <w:sz w:val="22"/>
          <w:highlight w:val="cyan"/>
          <w:u w:val="single"/>
        </w:rPr>
        <w:t xml:space="preserve"> one </w:t>
      </w:r>
      <w:r>
        <w:rPr>
          <w:b/>
          <w:i w:val="0"/>
          <w:smallCaps w:val="0"/>
          <w:strike w:val="0"/>
          <w:sz w:val="22"/>
          <w:highlight w:val="cyan"/>
          <w:u w:val="single"/>
        </w:rPr>
        <w:t>sovereign</w:t>
      </w:r>
      <w:r>
        <w:rPr>
          <w:b w:val="0"/>
          <w:i w:val="0"/>
          <w:smallCaps w:val="0"/>
          <w:strike w:val="0"/>
          <w:sz w:val="16"/>
          <w:u w:val="none"/>
        </w:rPr>
        <w:t xml:space="preserve"> in the context of subsection (f)(1), </w:t>
      </w:r>
      <w:r>
        <w:rPr>
          <w:b w:val="0"/>
          <w:i w:val="0"/>
          <w:smallCaps w:val="0"/>
          <w:strike w:val="0"/>
          <w:sz w:val="22"/>
          <w:u w:val="single"/>
        </w:rPr>
        <w:t xml:space="preserve">and that is the </w:t>
      </w:r>
      <w:r>
        <w:rPr>
          <w:b/>
          <w:i w:val="0"/>
          <w:smallCaps w:val="0"/>
          <w:strike w:val="0"/>
          <w:sz w:val="22"/>
          <w:u w:val="single"/>
        </w:rPr>
        <w:t>federal government</w:t>
      </w:r>
      <w:r>
        <w:rPr>
          <w:b w:val="0"/>
          <w:i w:val="0"/>
          <w:smallCaps w:val="0"/>
          <w:strike w:val="0"/>
          <w:sz w:val="16"/>
          <w:u w:val="none"/>
        </w:rPr>
        <w:t>.</w:t>
      </w:r>
    </w:p>
    <w:p>
      <w:pPr>
        <w:pStyle w:val="Caption"/>
      </w:pPr>
      <w:r>
        <w:t>Source: Topicality Updates - Michigan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