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Abjection is codified through a visual politics that recycles deviance into a new commodity for neoliberal expansion. This code interprets all modes of semiotic representation linking together affects to produce a “Resilient subject” that normalizes capitalist control and constant adaptation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James 15</w:t>
      </w:r>
      <w:r>
        <w:rPr>
          <w:b w:val="0"/>
          <w:i w:val="0"/>
          <w:smallCaps w:val="0"/>
          <w:strike w:val="0"/>
          <w:u w:val="none"/>
        </w:rPr>
        <w:t>. Robin James is an Associate Professor of Philosophy @ UNC Charlotte. “Resilience &amp; Melancholy: Pop Music, Feminism, Neoliberalism, Publisher: Zero Books p. 88-92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Resilience must be performed explicitly, legibly, and spectacularly.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Overcoming is necessary but insufficient; to count and function as resilience, this overcoming must be accomplished in a visible or otherwise legible and consumable manner.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Overcoming is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 type of “affective labor” which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Steven </w:t>
      </w:r>
      <w:r>
        <w:rPr>
          <w:b w:val="0"/>
          <w:i w:val="0"/>
          <w:smallCaps w:val="0"/>
          <w:strike w:val="0"/>
          <w:sz w:val="22"/>
          <w:u w:val="single"/>
        </w:rPr>
        <w:t>Shaviro puts 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>“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is productive only to the extent that it is a public performance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cannot unfold in the hidden depths; it must be visible and audible” (PCA 49n33)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order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to tune into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feminine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resilience and feed it back into its power supply, MRWaSP has to perceive it as such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“Look,! Overcame!” is the resilient subject’s maxim or mantra.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Gender and race have always been “visible identities,” </w:t>
      </w:r>
      <w:r>
        <w:rPr>
          <w:b w:val="0"/>
          <w:i w:val="0"/>
          <w:smallCaps w:val="0"/>
          <w:strike w:val="0"/>
          <w:sz w:val="22"/>
          <w:u w:val="single"/>
        </w:rPr>
        <w:t>to 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philosopher Linda Martin </w:t>
      </w:r>
      <w:r>
        <w:rPr>
          <w:b w:val="0"/>
          <w:i w:val="0"/>
          <w:smallCaps w:val="0"/>
          <w:strike w:val="0"/>
          <w:sz w:val="22"/>
          <w:u w:val="single"/>
        </w:rPr>
        <w:t>Alcoff’s term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identities strongly tied to one’s outward physical appearance.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However,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gendered/racialized resilience isn’t visible in the same way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conventional gender and racial identities are visible</w:t>
      </w:r>
      <w:r>
        <w:rPr>
          <w:b w:val="0"/>
          <w:i w:val="0"/>
          <w:smallCaps w:val="0"/>
          <w:strike w:val="0"/>
          <w:sz w:val="16"/>
          <w:u w:val="none"/>
        </w:rPr>
        <w:t>. To clarify these differences, it’s helpful to think of resilience in terms of a “Look, I overcame!” imperative. “</w:t>
      </w:r>
      <w:r>
        <w:rPr>
          <w:b w:val="0"/>
          <w:i w:val="0"/>
          <w:smallCaps w:val="0"/>
          <w:strike w:val="0"/>
          <w:sz w:val="22"/>
          <w:u w:val="single"/>
        </w:rPr>
        <w:t>Look, I Overcame!” Is easy to juxtapose to Frantz Fanon’s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“Look a Negro!”, which is the touch stone for his analysis of gendered racialization in “The Fact of Blackness.” In both cases, looking is a means of crafting race/gender identities and distributing white patriarchal privilege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But, in the same way that resilience discourse “upgrades” traditional methods for crafting identities and distributing privilege, the “looking” in “Look, I Overcame’” is an upgrade on the “looking” in “Look, a Negro” According to Fanon, the exclamation “Look, a Negro!” racializes him as a black man. To be “a Negro” is to be objectified by the white supremacist gaze. This gaze fixes him as an object, rather than an ambiguous transcendence (which is a more nuanced way of describing the existentialist concept of subjectivity). </w:t>
      </w:r>
      <w:r>
        <w:rPr>
          <w:b w:val="0"/>
          <w:i w:val="0"/>
          <w:smallCaps w:val="0"/>
          <w:strike w:val="0"/>
          <w:sz w:val="22"/>
          <w:u w:val="singl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>The black man,” as Fanon argues, “has no ontological resistance for the white man” (BSWM 110) because, as an object and not a mutually-recognized subject, he cannot return the white man’s gaze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(“The Look” that is so important to Sartre’s theory of subjectivity in Being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&amp; Nothingness). </w:t>
      </w:r>
      <w:r>
        <w:rPr>
          <w:b w:val="0"/>
          <w:i w:val="0"/>
          <w:smallCaps w:val="0"/>
          <w:strike w:val="0"/>
          <w:sz w:val="22"/>
          <w:u w:val="single"/>
        </w:rPr>
        <w:t>The LIO narrative differs from Fanon’s account in the same way it differs from Iris Young’s account of feminine body comportment: in resilience discourse, objectification isn’t an end but a means, any impediment posed by the damage wrought by the white/male gaze Is a necessary prerequisite for subjectivity, agency, and mutual recognition.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other words, </w:t>
      </w:r>
      <w:r>
        <w:rPr>
          <w:b w:val="0"/>
          <w:i w:val="0"/>
          <w:smallCaps w:val="0"/>
          <w:strike w:val="0"/>
          <w:sz w:val="22"/>
          <w:u w:val="single"/>
        </w:rPr>
        <w:t>being looked at isn’t an imp</w:t>
      </w:r>
      <w:r>
        <w:rPr>
          <w:b w:val="0"/>
          <w:i w:val="0"/>
          <w:smallCaps w:val="0"/>
          <w:strike w:val="0"/>
          <w:sz w:val="22"/>
          <w:u w:val="single"/>
        </w:rPr>
        <w:t>ediment, but a resource.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Resilience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discourse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turns objectification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(being looked at)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into a means of subjectificatlon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(overcoming).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 xml:space="preserve">It </w:t>
      </w:r>
      <w:r>
        <w:rPr>
          <w:b/>
          <w:i w:val="0"/>
          <w:smallCaps w:val="0"/>
          <w:strike w:val="0"/>
          <w:sz w:val="22"/>
          <w:u w:val="single"/>
        </w:rPr>
        <w:t xml:space="preserve">also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 xml:space="preserve">makes looking even more efficient and profitable than simple objectification </w:t>
      </w:r>
      <w:r>
        <w:rPr>
          <w:b/>
          <w:i w:val="0"/>
          <w:smallCaps w:val="0"/>
          <w:strike w:val="0"/>
          <w:sz w:val="22"/>
          <w:u w:val="single"/>
        </w:rPr>
        <w:t xml:space="preserve">could ever be. Recognizing and affirming the affective labor of the resilient performer,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 xml:space="preserve">the spectator feeds the performer’s individual overcoming Into a </w:t>
      </w:r>
      <w:r>
        <w:rPr>
          <w:b/>
          <w:i w:val="0"/>
          <w:smallCaps w:val="0"/>
          <w:strike w:val="0"/>
          <w:sz w:val="22"/>
          <w:u w:val="single"/>
        </w:rPr>
        <w:t xml:space="preserve">second-order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therapeutic narrative: our approbation of her overcoming is evidence of our own overcoming of our past prejudices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spectator wants to be seen by a wider audience as someone who answers the resilient feminine subject’s hail, “Look, I Overcame’. </w:t>
      </w:r>
      <w:r>
        <w:rPr>
          <w:b w:val="0"/>
          <w:i w:val="0"/>
          <w:smallCaps w:val="0"/>
          <w:strike w:val="0"/>
          <w:sz w:val="22"/>
          <w:u w:val="single"/>
        </w:rPr>
        <w:t>Just as individual feminine subjects use their resilience as proof of their own goodness</w:t>
      </w:r>
      <w:r>
        <w:rPr>
          <w:b w:val="0"/>
          <w:i w:val="0"/>
          <w:smallCaps w:val="0"/>
          <w:strike w:val="0"/>
          <w:sz w:val="22"/>
          <w:u w:val="single"/>
        </w:rPr>
        <w:t>, MRWaSP uses the resilience of its “good girls” as proof that they’re the “good guys” — that its social and ethical practices are truly just, and that we really mean it this time when we say everyone is equal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</w:t>
      </w:r>
      <w:r>
        <w:rPr>
          <w:b w:val="0"/>
          <w:i w:val="0"/>
          <w:smallCaps w:val="0"/>
          <w:strike w:val="0"/>
          <w:sz w:val="22"/>
          <w:u w:val="single"/>
        </w:rPr>
        <w:t>the “resilience” of “our” women is often contrasted with the supposed “fragility” of Third-World women of color. Or,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domestic US race</w:t>
      </w:r>
      <w:r>
        <w:rPr>
          <w:b w:val="0"/>
          <w:i w:val="0"/>
          <w:smallCaps w:val="0"/>
          <w:strike w:val="0"/>
          <w:sz w:val="22"/>
          <w:u w:val="single"/>
        </w:rPr>
        <w:t>-gender politics, the resilience of some African-American women (their bootstraps-style class ascendance) is contrasted to the continued fragility of other African-American women, and thus used to reinforce class distinctions among blacks</w:t>
      </w:r>
      <w:r>
        <w:rPr>
          <w:b w:val="0"/>
          <w:i w:val="0"/>
          <w:smallCaps w:val="0"/>
          <w:strike w:val="0"/>
          <w:sz w:val="16"/>
          <w:u w:val="none"/>
        </w:rPr>
        <w:t>. There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a million different versions of this general story: “our” women are already liberated — they saved themselves —but, to riff on Gayatri Spivak, “brown women need saving from brown men.”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Most mainstream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conversations about Third-World women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versions of this story: discussions of “Muslim” veiling, female circumcision, sweatshops, poverty ‘development.” they’re all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white-saviorist narratives meant to display MRWaSP’s own resilience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Look, I Overcame!” upgrades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‘Look, a Negro’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(a)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recycling objectification into overcoming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(b)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compounding looking, so that one can profit from others’ resilience, treating their overcoming as one’s own overcoming.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This upgrade in white supremacist patriarchy </w:t>
      </w:r>
      <w:r>
        <w:rPr>
          <w:b w:val="0"/>
          <w:i w:val="0"/>
          <w:smallCaps w:val="0"/>
          <w:strike w:val="0"/>
          <w:sz w:val="22"/>
          <w:u w:val="single"/>
        </w:rPr>
        <w:t>requires a concomitant upgrade in looking.”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shift in looking practices parallels developments in film and media aesthetics. As Steven Shaviro has argued, the values, techniques, and compositional strategies most common in contemporary mainstream Western cinema — like Michael Bay’s Transformers—are significantly different than the ones used in modernist and post-modernist cinema, and that these differences in media production correlate to broader shifts in the means of capitalist and ideological production. Neoliberalism’s aesthetic is, he argues, “post-cinematic.” This post-cinematic aesthetic applies not just to film and media, but to resilience discourse. Its performance practices and looking relations configured by the “Look. I Overcame!” imperative, resilience is, in a way, another type of post-cinematic medium. In the next section I use Shaviro’s theory of post-cinematic media to identify some specific ways in which traditional patriarchal tools are updated to work compatibly with MRWaSP resilience discourse. The looking in the “Look, I Overcame!” narrative is not the same kind of looking described by concepts like “the male gaze” or “controlling images” This looking is a type of deregulated MRWaSP visualization.</w:t>
      </w:r>
    </w:p>
    <w:p>
      <w:pPr>
        <w:pStyle w:val="Caption"/>
      </w:pPr>
      <w:r>
        <w:t>Source: Indian Catachresis Aff Neg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