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moral hazard - grant applicants are </w:t>
      </w:r>
      <w:r>
        <w:rPr>
          <w:b/>
          <w:i w:val="0"/>
          <w:smallCaps w:val="0"/>
          <w:strike w:val="0"/>
          <w:sz w:val="26"/>
          <w:u w:val="single"/>
        </w:rPr>
        <w:t>repeat players</w:t>
      </w:r>
      <w:r>
        <w:rPr>
          <w:b/>
          <w:i w:val="0"/>
          <w:smallCaps w:val="0"/>
          <w:strike w:val="0"/>
          <w:sz w:val="26"/>
          <w:u w:val="none"/>
        </w:rPr>
        <w:t xml:space="preserve"> – that creates accountability because they </w:t>
      </w:r>
      <w:r>
        <w:rPr>
          <w:b/>
          <w:i w:val="0"/>
          <w:smallCaps w:val="0"/>
          <w:strike w:val="0"/>
          <w:sz w:val="26"/>
          <w:u w:val="none"/>
        </w:rPr>
        <w:t>have to</w:t>
      </w:r>
      <w:r>
        <w:rPr>
          <w:b/>
          <w:i w:val="0"/>
          <w:smallCaps w:val="0"/>
          <w:strike w:val="0"/>
          <w:sz w:val="26"/>
          <w:u w:val="none"/>
        </w:rPr>
        <w:t xml:space="preserve"> apply for future grants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W. Nicholson </w:t>
      </w:r>
      <w:r>
        <w:rPr>
          <w:b/>
          <w:i w:val="0"/>
          <w:smallCaps w:val="0"/>
          <w:strike w:val="0"/>
          <w:sz w:val="26"/>
          <w:u w:val="none"/>
        </w:rPr>
        <w:t>Price</w:t>
      </w:r>
      <w:r>
        <w:rPr>
          <w:b w:val="0"/>
          <w:i w:val="0"/>
          <w:smallCaps w:val="0"/>
          <w:strike w:val="0"/>
          <w:u w:val="none"/>
        </w:rPr>
        <w:t xml:space="preserve"> II, 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- Assistant Professor of Law, University of Michigan Law School “Grants” 34 Berkeley Tech. L.J. 1, Nexis Uni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most important reporting of grant progress comes not in response to the current grant but in applying for the next grant. Grants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terms are measured in years; researcher careers are measured in decades</w:t>
      </w:r>
      <w:r>
        <w:rPr>
          <w:b w:val="0"/>
          <w:i w:val="0"/>
          <w:smallCaps w:val="0"/>
          <w:strike w:val="0"/>
          <w:u w:val="none"/>
        </w:rPr>
        <w:t xml:space="preserve"> (or, at least, most researchers hope so). </w:t>
      </w:r>
      <w:r>
        <w:rPr>
          <w:b w:val="0"/>
          <w:i w:val="0"/>
          <w:smallCaps w:val="0"/>
          <w:strike w:val="0"/>
          <w:sz w:val="22"/>
          <w:u w:val="single"/>
        </w:rPr>
        <w:t>Failure to get subsequent grants can result in</w:t>
      </w:r>
      <w:r>
        <w:rPr>
          <w:b w:val="0"/>
          <w:i w:val="0"/>
          <w:smallCaps w:val="0"/>
          <w:strike w:val="0"/>
          <w:u w:val="none"/>
        </w:rPr>
        <w:t xml:space="preserve"> the downsizing of a lab or </w:t>
      </w:r>
      <w:r>
        <w:rPr>
          <w:b w:val="0"/>
          <w:i w:val="0"/>
          <w:smallCaps w:val="0"/>
          <w:strike w:val="0"/>
          <w:sz w:val="22"/>
          <w:u w:val="single"/>
        </w:rPr>
        <w:t>the end of a career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making researchers </w:t>
      </w:r>
      <w:r>
        <w:rPr>
          <w:b/>
          <w:i w:val="0"/>
          <w:smallCaps w:val="0"/>
          <w:strike w:val="0"/>
          <w:sz w:val="22"/>
          <w:u w:val="single"/>
        </w:rPr>
        <w:t>repeat players</w:t>
      </w:r>
      <w:r>
        <w:rPr>
          <w:b w:val="0"/>
          <w:i w:val="0"/>
          <w:smallCaps w:val="0"/>
          <w:strike w:val="0"/>
          <w:u w:val="none"/>
        </w:rPr>
        <w:t xml:space="preserve">. 180 As Gallini and </w:t>
      </w:r>
      <w:r>
        <w:rPr>
          <w:b w:val="0"/>
          <w:i w:val="0"/>
          <w:smallCaps w:val="0"/>
          <w:strike w:val="0"/>
          <w:u w:val="none"/>
        </w:rPr>
        <w:t>Scotchmer</w:t>
      </w:r>
      <w:r>
        <w:rPr>
          <w:b w:val="0"/>
          <w:i w:val="0"/>
          <w:smallCaps w:val="0"/>
          <w:strike w:val="0"/>
          <w:u w:val="none"/>
        </w:rPr>
        <w:t xml:space="preserve"> noted,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"moral hazard" of non-contingent ex ante funding for a single grant "is overcome because </w:t>
      </w:r>
      <w:r>
        <w:rPr>
          <w:b/>
          <w:i w:val="0"/>
          <w:smallCaps w:val="0"/>
          <w:strike w:val="0"/>
          <w:sz w:val="22"/>
          <w:u w:val="single"/>
        </w:rPr>
        <w:t>future grants are contingent on previous success."</w:t>
      </w:r>
      <w:r>
        <w:rPr>
          <w:b w:val="0"/>
          <w:i w:val="0"/>
          <w:smallCaps w:val="0"/>
          <w:strike w:val="0"/>
          <w:u w:val="none"/>
        </w:rPr>
        <w:t xml:space="preserve"> 181 They argue that in practice, grants "operate much like prizes, with the wrinkle that a researcher must convince the sponsor in advance that his output might be worthy of a prize. For this purpose, his reputation might suffice, and in some cases, much of the research has already been completed." 182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