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Reporting obligations and the need to apply for subsequent grants makes the process accountable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W. Nicholson </w:t>
      </w:r>
      <w:r>
        <w:rPr>
          <w:b/>
          <w:i w:val="0"/>
          <w:smallCaps w:val="0"/>
          <w:strike w:val="0"/>
          <w:sz w:val="26"/>
          <w:u w:val="none"/>
        </w:rPr>
        <w:t>Price</w:t>
      </w:r>
      <w:r>
        <w:rPr>
          <w:b w:val="0"/>
          <w:i w:val="0"/>
          <w:smallCaps w:val="0"/>
          <w:strike w:val="0"/>
          <w:u w:val="none"/>
        </w:rPr>
        <w:t xml:space="preserve"> II, 20</w:t>
      </w:r>
      <w:r>
        <w:rPr>
          <w:b/>
          <w:i w:val="0"/>
          <w:smallCaps w:val="0"/>
          <w:strike w:val="0"/>
          <w:sz w:val="26"/>
          <w:u w:val="none"/>
        </w:rPr>
        <w:t>19</w:t>
      </w:r>
      <w:r>
        <w:rPr>
          <w:b w:val="0"/>
          <w:i w:val="0"/>
          <w:smallCaps w:val="0"/>
          <w:strike w:val="0"/>
          <w:u w:val="none"/>
        </w:rPr>
        <w:t xml:space="preserve"> - Assistant Professor of Law, University of Michigan Law School “Grants” 34 Berkeley Tech. L.J. 1, Nexis Uni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Second,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grantees are in fact accountable for grant-funded research. Each grant operates within </w:t>
      </w:r>
      <w:r>
        <w:rPr>
          <w:b w:val="0"/>
          <w:i w:val="0"/>
          <w:smallCaps w:val="0"/>
          <w:strike w:val="0"/>
          <w:sz w:val="22"/>
          <w:u w:val="single"/>
        </w:rPr>
        <w:t>a context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ongoing funding streams, reporting obligations, and repeat players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Even though any individual grant may lack its own strong accountability mechanisms, the practical need to get the next grant creates accountability for grant recipients</w:t>
      </w:r>
      <w:r>
        <w:rPr>
          <w:b w:val="0"/>
          <w:i w:val="0"/>
          <w:smallCaps w:val="0"/>
          <w:strike w:val="0"/>
          <w:u w:val="none"/>
        </w:rPr>
        <w:t>. 19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