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Government R&amp;D is central planning – it crowds out innovation and is subject to rent-seeking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Adam </w:t>
      </w:r>
      <w:r>
        <w:rPr>
          <w:b/>
          <w:i w:val="0"/>
          <w:smallCaps w:val="0"/>
          <w:strike w:val="0"/>
          <w:sz w:val="26"/>
          <w:u w:val="none"/>
        </w:rPr>
        <w:t>Thierer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Senior Research Fellow at the </w:t>
      </w:r>
      <w:r>
        <w:rPr>
          <w:b w:val="0"/>
          <w:i w:val="0"/>
          <w:smallCaps w:val="0"/>
          <w:strike w:val="0"/>
          <w:u w:val="none"/>
        </w:rPr>
        <w:t>Mercatus</w:t>
      </w:r>
      <w:r>
        <w:rPr>
          <w:b w:val="0"/>
          <w:i w:val="0"/>
          <w:smallCaps w:val="0"/>
          <w:strike w:val="0"/>
          <w:u w:val="none"/>
        </w:rPr>
        <w:t xml:space="preserve"> Center at George Mason University “How To Get the Future We Were Promised” 1/18,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 xml:space="preserve">Hall = J Storrs Hall, Chief Scientist of </w:t>
      </w:r>
      <w:r>
        <w:rPr>
          <w:b/>
          <w:i w:val="0"/>
          <w:smallCaps w:val="0"/>
          <w:strike w:val="0"/>
          <w:u w:val="none"/>
        </w:rPr>
        <w:t>Nanorex</w:t>
      </w:r>
      <w:r>
        <w:rPr>
          <w:b/>
          <w:i w:val="0"/>
          <w:smallCaps w:val="0"/>
          <w:strike w:val="0"/>
          <w:u w:val="none"/>
        </w:rPr>
        <w:t>, Inc, and Research Fellow of the Institute for Molecular Manufacturing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Hall’s indictment of modern innovation policy does not end with regulatory encumbrances. He is equally critical of government research and development (R&amp;D) efforts. “One of the great tragedies of the latter 20th century, and clearly </w:t>
      </w:r>
      <w:r>
        <w:rPr>
          <w:b w:val="0"/>
          <w:i w:val="0"/>
          <w:smallCaps w:val="0"/>
          <w:strike w:val="0"/>
          <w:sz w:val="22"/>
          <w:u w:val="single"/>
        </w:rPr>
        <w:t>one of the causes of the Great Stagnation</w:t>
      </w:r>
      <w:r>
        <w:rPr>
          <w:b w:val="0"/>
          <w:i w:val="0"/>
          <w:smallCaps w:val="0"/>
          <w:strike w:val="0"/>
          <w:u w:val="none"/>
        </w:rPr>
        <w:t>,” he argues, “</w:t>
      </w:r>
      <w:r>
        <w:rPr>
          <w:b w:val="0"/>
          <w:i w:val="0"/>
          <w:smallCaps w:val="0"/>
          <w:strike w:val="0"/>
          <w:sz w:val="22"/>
          <w:u w:val="single"/>
        </w:rPr>
        <w:t>was the increasing centralization and bureaucratization of science and research funding.”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Hall identifies two problems with over-</w:t>
      </w:r>
      <w:r>
        <w:rPr>
          <w:b w:val="0"/>
          <w:i w:val="0"/>
          <w:smallCaps w:val="0"/>
          <w:strike w:val="0"/>
          <w:sz w:val="22"/>
          <w:u w:val="single"/>
        </w:rPr>
        <w:t>centralized government funding of scienc</w:t>
      </w:r>
      <w:r>
        <w:rPr>
          <w:b w:val="0"/>
          <w:i w:val="0"/>
          <w:smallCaps w:val="0"/>
          <w:strike w:val="0"/>
          <w:u w:val="none"/>
        </w:rPr>
        <w:t xml:space="preserve">e: It </w:t>
      </w:r>
      <w:r>
        <w:rPr>
          <w:b w:val="0"/>
          <w:i w:val="0"/>
          <w:smallCaps w:val="0"/>
          <w:strike w:val="0"/>
          <w:sz w:val="22"/>
          <w:u w:val="single"/>
        </w:rPr>
        <w:t>can lead to a stodgy, insular system in which the old guard protects its own interests, and it can also crowd out private-sector funding efforts</w:t>
      </w:r>
      <w:r>
        <w:rPr>
          <w:b w:val="0"/>
          <w:i w:val="0"/>
          <w:smallCaps w:val="0"/>
          <w:strike w:val="0"/>
          <w:u w:val="none"/>
        </w:rPr>
        <w:t>. He says “</w:t>
      </w:r>
      <w:r>
        <w:rPr>
          <w:b w:val="0"/>
          <w:i w:val="0"/>
          <w:smallCaps w:val="0"/>
          <w:strike w:val="0"/>
          <w:sz w:val="22"/>
          <w:u w:val="single"/>
        </w:rPr>
        <w:t>ivory-tower syndrome”—</w:t>
      </w:r>
      <w:r>
        <w:rPr>
          <w:b w:val="0"/>
          <w:i w:val="0"/>
          <w:smallCaps w:val="0"/>
          <w:strike w:val="0"/>
          <w:u w:val="none"/>
        </w:rPr>
        <w:t>a closed-mindedness and protectionist instinct among those who benefit from a well-settled status quo—</w:t>
      </w:r>
      <w:r>
        <w:rPr>
          <w:b w:val="0"/>
          <w:i w:val="0"/>
          <w:smallCaps w:val="0"/>
          <w:strike w:val="0"/>
          <w:sz w:val="22"/>
          <w:u w:val="single"/>
        </w:rPr>
        <w:t>has crept into federal R&amp;D programs and agency funding processes</w:t>
      </w:r>
      <w:r>
        <w:rPr>
          <w:b w:val="0"/>
          <w:i w:val="0"/>
          <w:smallCaps w:val="0"/>
          <w:strike w:val="0"/>
          <w:u w:val="none"/>
        </w:rPr>
        <w:t>. “</w:t>
      </w:r>
      <w:r>
        <w:rPr>
          <w:b w:val="0"/>
          <w:i w:val="0"/>
          <w:smallCaps w:val="0"/>
          <w:strike w:val="0"/>
          <w:sz w:val="22"/>
          <w:u w:val="single"/>
        </w:rPr>
        <w:t>Centralized funding of an intellectual elite makes it easier for cadres, cliques, and the politically skilled to gain control of a field, and by their nature they are resistant to new, outside, non-Ptolemaic ideas</w:t>
      </w:r>
      <w:r>
        <w:rPr>
          <w:b w:val="0"/>
          <w:i w:val="0"/>
          <w:smallCaps w:val="0"/>
          <w:strike w:val="0"/>
          <w:u w:val="none"/>
        </w:rPr>
        <w:t>.” He is particularly critical of how this don’t-rock-the-boat mentality has set back research on cold fusion, where the old guard threw up roadblocks to potentially important research. “The ivory tower has a moat full of crocodiles,” he says, and “we increasingly have major social institutions whose prestige comes in substantial part from virtue signaling rather than actually producing useful results.”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Worse yet</w:t>
      </w:r>
      <w:r>
        <w:rPr>
          <w:b w:val="0"/>
          <w:i w:val="0"/>
          <w:smallCaps w:val="0"/>
          <w:strike w:val="0"/>
          <w:u w:val="none"/>
        </w:rPr>
        <w:t xml:space="preserve">, Hall says, </w:t>
      </w:r>
      <w:r>
        <w:rPr>
          <w:b w:val="0"/>
          <w:i w:val="0"/>
          <w:smallCaps w:val="0"/>
          <w:strike w:val="0"/>
          <w:sz w:val="22"/>
          <w:u w:val="single"/>
        </w:rPr>
        <w:t>is the crowding-out effect created by federal R&amp;D programs.</w:t>
      </w:r>
      <w:r>
        <w:rPr>
          <w:b w:val="0"/>
          <w:i w:val="0"/>
          <w:smallCaps w:val="0"/>
          <w:strike w:val="0"/>
          <w:u w:val="none"/>
        </w:rPr>
        <w:t xml:space="preserve"> To those who claim massive government R&amp;D is needed to spur innovation and growth, he says “the evidence simply does not support the conclusion.” Hall points out that “</w:t>
      </w:r>
      <w:r>
        <w:rPr>
          <w:b w:val="0"/>
          <w:i w:val="0"/>
          <w:smallCaps w:val="0"/>
          <w:strike w:val="0"/>
          <w:sz w:val="22"/>
          <w:u w:val="single"/>
        </w:rPr>
        <w:t>the great innovations that made the major quality-of-life improvements came before 1960</w:t>
      </w:r>
      <w:r>
        <w:rPr>
          <w:b w:val="0"/>
          <w:i w:val="0"/>
          <w:smallCaps w:val="0"/>
          <w:strike w:val="0"/>
          <w:u w:val="none"/>
        </w:rPr>
        <w:t xml:space="preserve"> . . . and they </w:t>
      </w:r>
      <w:r>
        <w:rPr>
          <w:b w:val="0"/>
          <w:i w:val="0"/>
          <w:smallCaps w:val="0"/>
          <w:strike w:val="0"/>
          <w:sz w:val="22"/>
          <w:u w:val="single"/>
        </w:rPr>
        <w:t>were all developed privately</w:t>
      </w:r>
      <w:r>
        <w:rPr>
          <w:b w:val="0"/>
          <w:i w:val="0"/>
          <w:smallCaps w:val="0"/>
          <w:strike w:val="0"/>
          <w:u w:val="none"/>
        </w:rPr>
        <w:t>.” He recites a long list of such inventions: refrigeration, vacuum cleaners, gas and electric stoves, fertilizer and almost every media and communications technology.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He notes that the Great Stagnation has coincided with a massive increase in federal science funding, and that the most explosive periods of innovation and growth in both the U.S. and Britain came when the countries “were squarely in laissez-faire mode.” </w:t>
      </w:r>
      <w:r>
        <w:rPr>
          <w:b w:val="0"/>
          <w:i w:val="0"/>
          <w:smallCaps w:val="0"/>
          <w:strike w:val="0"/>
          <w:sz w:val="22"/>
          <w:u w:val="single"/>
        </w:rPr>
        <w:t>The issues of over-centralized science bureaucracy and turf-protecting constituencies further exacerbate the crowding-out problem.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It is hard to see how this problem will be reversed with industrial policy experiencing a major resurgence in the U.S. and Congress considering a 2,300-page, $250 billion, pork-laden Innovation and Competition Act. Despite all the evidence supporting Hall’s indictment of past government support measures, the tech pork barrel appears ready to roll on.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