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No evidence shows that R&amp;D tax credits increase R&amp;D – firms who are </w:t>
      </w:r>
      <w:r>
        <w:rPr>
          <w:b/>
          <w:i w:val="0"/>
          <w:smallCaps w:val="0"/>
          <w:strike w:val="0"/>
          <w:sz w:val="26"/>
          <w:u w:val="single"/>
        </w:rPr>
        <w:t>already engaging</w:t>
      </w:r>
      <w:r>
        <w:rPr>
          <w:b/>
          <w:i w:val="0"/>
          <w:smallCaps w:val="0"/>
          <w:strike w:val="0"/>
          <w:sz w:val="26"/>
          <w:u w:val="none"/>
        </w:rPr>
        <w:t xml:space="preserve"> in R&amp;D are the ones the take advantage of the tax credit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Mariana </w:t>
      </w:r>
      <w:r>
        <w:rPr>
          <w:b/>
          <w:i w:val="0"/>
          <w:smallCaps w:val="0"/>
          <w:strike w:val="0"/>
          <w:sz w:val="26"/>
          <w:u w:val="none"/>
        </w:rPr>
        <w:t>Mazzucato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15</w:t>
      </w:r>
      <w:r>
        <w:rPr>
          <w:b w:val="0"/>
          <w:i w:val="0"/>
          <w:smallCaps w:val="0"/>
          <w:strike w:val="0"/>
          <w:u w:val="none"/>
        </w:rPr>
        <w:t xml:space="preserve"> - Professor in the Economics of Innovation and Public Value at University College London where she is the founding director of the UCL Institute for Innovation and Public Purpose. </w:t>
      </w:r>
      <w:r>
        <w:rPr>
          <w:b w:val="0"/>
          <w:i w:val="0"/>
          <w:smallCaps w:val="0"/>
          <w:strike w:val="0"/>
          <w:u w:val="single"/>
        </w:rPr>
        <w:t>The Entrepreneurial State</w:t>
      </w:r>
      <w:r>
        <w:rPr>
          <w:b w:val="0"/>
          <w:i w:val="0"/>
          <w:smallCaps w:val="0"/>
          <w:strike w:val="0"/>
          <w:u w:val="none"/>
        </w:rPr>
        <w:t>, p. 61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there is a research component in innovation, </w:t>
      </w:r>
      <w:r>
        <w:rPr>
          <w:b w:val="0"/>
          <w:i w:val="0"/>
          <w:smallCaps w:val="0"/>
          <w:strike w:val="0"/>
          <w:sz w:val="22"/>
          <w:u w:val="single"/>
        </w:rPr>
        <w:t>there is not a linear relationship between research and development, innovation and economic growth</w:t>
      </w:r>
      <w:r>
        <w:rPr>
          <w:b w:val="0"/>
          <w:i w:val="0"/>
          <w:smallCaps w:val="0"/>
          <w:strike w:val="0"/>
          <w:u w:val="none"/>
        </w:rPr>
        <w:t xml:space="preserve">. While it is important that the frontiers of science advance and that economies develop the nodes and networks that enable knowledge to be transferred between different organizations and individuals, </w:t>
      </w:r>
      <w:r>
        <w:rPr>
          <w:b w:val="0"/>
          <w:i w:val="0"/>
          <w:smallCaps w:val="0"/>
          <w:strike w:val="0"/>
          <w:sz w:val="22"/>
          <w:u w:val="single"/>
        </w:rPr>
        <w:t>it does not follow that subsidizing the activity of R&amp;D per se within individual firms is the best use of taxpayers' money</w:t>
      </w:r>
      <w:r>
        <w:rPr>
          <w:b w:val="0"/>
          <w:i w:val="0"/>
          <w:smallCaps w:val="0"/>
          <w:strike w:val="0"/>
          <w:u w:val="none"/>
        </w:rPr>
        <w:t xml:space="preserve">. Although it is common sense that there is a relationship between a decision to engage in R&amp;D and its cost (see Myth 1), </w:t>
      </w:r>
      <w:r>
        <w:rPr>
          <w:b w:val="0"/>
          <w:i w:val="0"/>
          <w:smallCaps w:val="0"/>
          <w:strike w:val="0"/>
          <w:sz w:val="22"/>
          <w:u w:val="single"/>
        </w:rPr>
        <w:t>qualitative surveys of the effectiveness of the R&amp;D tax credit for both large and small firms provide little evidence that it has positively impacted the decision to engage in R&amp;D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rather than simply providing a welcome cash transfer to some firms that have already done so</w:t>
      </w:r>
      <w:r>
        <w:rPr>
          <w:b w:val="0"/>
          <w:i w:val="0"/>
          <w:smallCaps w:val="0"/>
          <w:strike w:val="0"/>
          <w:u w:val="none"/>
        </w:rPr>
        <w:t xml:space="preserve">.7 There is also a potential problem under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u w:val="none"/>
        </w:rPr>
        <w:t xml:space="preserve">current </w:t>
      </w:r>
      <w:r>
        <w:rPr>
          <w:b w:val="0"/>
          <w:i w:val="0"/>
          <w:smallCaps w:val="0"/>
          <w:strike w:val="0"/>
          <w:sz w:val="22"/>
          <w:u w:val="single"/>
        </w:rPr>
        <w:t>R&amp;D tax credit</w:t>
      </w:r>
      <w:r>
        <w:rPr>
          <w:b w:val="0"/>
          <w:i w:val="0"/>
          <w:smallCaps w:val="0"/>
          <w:strike w:val="0"/>
          <w:u w:val="none"/>
        </w:rPr>
        <w:t xml:space="preserve"> system, in many countries, that it </w:t>
      </w:r>
      <w:r>
        <w:rPr>
          <w:b w:val="0"/>
          <w:i w:val="0"/>
          <w:smallCaps w:val="0"/>
          <w:strike w:val="0"/>
          <w:sz w:val="22"/>
          <w:u w:val="single"/>
        </w:rPr>
        <w:t>does not hold firms accountable as to whether they have conducted new innovation that would not otherwise have taken place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or simply pursued routine forms of product development</w:t>
      </w:r>
      <w:r>
        <w:rPr>
          <w:b w:val="0"/>
          <w:i w:val="0"/>
          <w:smallCaps w:val="0"/>
          <w:strike w:val="0"/>
          <w:u w:val="none"/>
        </w:rPr>
        <w:t>. In time, therefore, as the entrepreneurial State is built, it would be more effective to use some of the expenditure on R&amp;D tax credits to directly commission the technological advance in question. Recently, the Netherlands has introduced an R&amp;D tax credit that targets not the income from R&amp;D (easily fudged) but R&amp;D workers—and this has been found to be more effective, creating the kind of 'additionally' that income-based R&amp;D tax credits don't (</w:t>
      </w:r>
      <w:r>
        <w:rPr>
          <w:b w:val="0"/>
          <w:i w:val="0"/>
          <w:smallCaps w:val="0"/>
          <w:strike w:val="0"/>
          <w:u w:val="none"/>
        </w:rPr>
        <w:t>Lockshin</w:t>
      </w:r>
      <w:r>
        <w:rPr>
          <w:b w:val="0"/>
          <w:i w:val="0"/>
          <w:smallCaps w:val="0"/>
          <w:strike w:val="0"/>
          <w:u w:val="none"/>
        </w:rPr>
        <w:t xml:space="preserve"> and Mohnen 2012).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