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Prizes avoid litigations and lawsuits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Gandjour &amp; Chernyak ‘11,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Afschin Gandjour and Nadja Chernyak, Department of Public Health, Faculty of Medicine, Heinrich-Heine University Düsseldorf. (October 2011, Health Policy pg 170-177, accessed online via Science Direct “A new prize system for drug innovation”, https://www.sciencedirect.com/science/article/abs/pii/S0168851011001114, </w:t>
      </w:r>
      <w:r>
        <w:rPr>
          <w:b w:val="0"/>
          <w:i w:val="0"/>
          <w:smallCaps w:val="0"/>
          <w:strike w:val="0"/>
          <w:sz w:val="22"/>
          <w:u w:val="none"/>
        </w:rPr>
        <w:t>accessed 6-25-2024,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AJ)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addition, as </w:t>
      </w:r>
      <w:r>
        <w:rPr>
          <w:b w:val="0"/>
          <w:i w:val="0"/>
          <w:smallCaps w:val="0"/>
          <w:strike w:val="0"/>
          <w:sz w:val="22"/>
          <w:u w:val="single"/>
        </w:rPr>
        <w:t>the reward system</w:t>
      </w:r>
      <w:r>
        <w:rPr>
          <w:b w:val="0"/>
          <w:i w:val="0"/>
          <w:smallCaps w:val="0"/>
          <w:strike w:val="0"/>
          <w:u w:val="none"/>
        </w:rPr>
        <w:t xml:space="preserve"> does not provide for licensing copycat drugs, it </w:t>
      </w:r>
      <w:r>
        <w:rPr>
          <w:b w:val="0"/>
          <w:i w:val="0"/>
          <w:smallCaps w:val="0"/>
          <w:strike w:val="0"/>
          <w:sz w:val="22"/>
          <w:u w:val="single"/>
        </w:rPr>
        <w:t>prevents welfare losses from free riding and excessive market entry.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This is in line with the reasoning of </w:t>
      </w:r>
      <w:r>
        <w:rPr>
          <w:b w:val="0"/>
          <w:i w:val="0"/>
          <w:smallCaps w:val="0"/>
          <w:strike w:val="0"/>
          <w:u w:val="none"/>
        </w:rPr>
        <w:t xml:space="preserve">[36], </w:t>
      </w:r>
      <w:r>
        <w:rPr>
          <w:b w:val="0"/>
          <w:i w:val="0"/>
          <w:smallCaps w:val="0"/>
          <w:strike w:val="0"/>
          <w:u w:val="single"/>
        </w:rPr>
        <w:t>who argued that if an entrant causes incumbent firms to reduce output, entry is more desirable to the entrant than to society</w:t>
      </w:r>
      <w:r>
        <w:rPr>
          <w:b w:val="0"/>
          <w:i w:val="0"/>
          <w:smallCaps w:val="0"/>
          <w:strike w:val="0"/>
          <w:u w:val="none"/>
        </w:rPr>
        <w:t>. Further, there is no need to subsidise start-up and production costs of generic manufacturers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Litigation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because of patent infringement lawsuits against generic manufacturers also </w:t>
      </w:r>
      <w:r>
        <w:rPr>
          <w:b/>
          <w:i w:val="0"/>
          <w:smallCaps w:val="0"/>
          <w:strike w:val="0"/>
          <w:sz w:val="22"/>
          <w:u w:val="single"/>
        </w:rPr>
        <w:t>vanish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Finally, firms currently allocate substantial resources to marketing8 in order to protect their profits.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Restricting excessive entry and competition for market share could change the proportion between R&amp;D and marketing expenditures. 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