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Advance Market Commitments</w:t>
      </w:r>
      <w:r>
        <w:rPr>
          <w:b/>
          <w:i w:val="0"/>
          <w:smallCaps w:val="0"/>
          <w:strike w:val="0"/>
          <w:sz w:val="26"/>
          <w:u w:val="none"/>
        </w:rPr>
        <w:t xml:space="preserve"> </w:t>
      </w:r>
      <w:r>
        <w:rPr>
          <w:b/>
          <w:i w:val="0"/>
          <w:smallCaps w:val="0"/>
          <w:strike w:val="0"/>
          <w:color w:val="000000"/>
          <w:sz w:val="26"/>
          <w:u w:val="none"/>
        </w:rPr>
        <w:t>incentivize technological innovation</w:t>
      </w:r>
    </w:p>
    <w:p>
      <w:pPr>
        <w:spacing w:after="80"/>
      </w:pPr>
      <w:r>
        <w:rPr>
          <w:b/>
          <w:i w:val="0"/>
          <w:smallCaps w:val="0"/>
          <w:strike w:val="0"/>
          <w:sz w:val="26"/>
          <w:u w:val="none"/>
        </w:rPr>
        <w:t>Ho &amp; Taylor 21</w:t>
      </w:r>
      <w:r>
        <w:rPr>
          <w:b w:val="0"/>
          <w:i w:val="0"/>
          <w:smallCaps w:val="0"/>
          <w:strike w:val="0"/>
          <w:u w:val="none"/>
        </w:rPr>
        <w:t xml:space="preserve"> --- product management lead at Google’s Quantum AI team, AND TAPP Fellow examining how to integrate public purpose into emerging technologies (Summer 2021, Alan Ho and Jake Taylor, Harvard University, Using Advance Market Commitments for Public Purpose from Technology Development, https://www.belfercenter.org/publication/using-advance-market-commitments-public-purpose-technology-development</w:t>
      </w:r>
      <w:r>
        <w:rPr>
          <w:b w:val="0"/>
          <w:i w:val="0"/>
          <w:smallCaps w:val="0"/>
          <w:strike w:val="0"/>
          <w:u w:val="none"/>
        </w:rPr>
        <w:t>, AS</w:t>
      </w:r>
      <w:r>
        <w:rPr>
          <w:b w:val="0"/>
          <w:i w:val="0"/>
          <w:smallCaps w:val="0"/>
          <w:strike w:val="0"/>
          <w:u w:val="none"/>
        </w:rPr>
        <w:t>)</w:t>
      </w:r>
    </w:p>
    <w:p>
      <w:pPr>
        <w:spacing w:after="60"/>
      </w:pPr>
      <w:r>
        <w:rPr>
          <w:b w:val="0"/>
          <w:i w:val="0"/>
          <w:smallCaps w:val="0"/>
          <w:strike w:val="0"/>
          <w:u w:val="none"/>
        </w:rPr>
        <w:t xml:space="preserve">Over the last year, there has been </w:t>
      </w:r>
      <w:r>
        <w:rPr>
          <w:b w:val="0"/>
          <w:i w:val="0"/>
          <w:smallCaps w:val="0"/>
          <w:strike w:val="0"/>
          <w:sz w:val="22"/>
          <w:u w:val="single"/>
        </w:rPr>
        <w:t>a renewed focus on improving American competitiveness in key fields of science and technology</w:t>
      </w:r>
      <w:r>
        <w:rPr>
          <w:b w:val="0"/>
          <w:i w:val="0"/>
          <w:smallCaps w:val="0"/>
          <w:strike w:val="0"/>
          <w:u w:val="none"/>
        </w:rPr>
        <w:t xml:space="preserve">. Numerous bills and executive initiatives have been implemented or proposed to dramatically increase investment into science and technology. Recent examples, including </w:t>
      </w:r>
      <w:r>
        <w:rPr>
          <w:b w:val="0"/>
          <w:i w:val="0"/>
          <w:smallCaps w:val="0"/>
          <w:strike w:val="0"/>
          <w:sz w:val="22"/>
          <w:u w:val="single"/>
        </w:rPr>
        <w:t>the Endless Frontiers and the Clean Futures Act, use a wide variety of policy tools to advance</w:t>
      </w:r>
      <w:r>
        <w:rPr>
          <w:b w:val="0"/>
          <w:i w:val="0"/>
          <w:smallCaps w:val="0"/>
          <w:strike w:val="0"/>
          <w:u w:val="none"/>
        </w:rPr>
        <w:t xml:space="preserve"> research and development (</w:t>
      </w:r>
      <w:r>
        <w:rPr>
          <w:b w:val="0"/>
          <w:i w:val="0"/>
          <w:smallCaps w:val="0"/>
          <w:strike w:val="0"/>
          <w:sz w:val="22"/>
          <w:u w:val="single"/>
        </w:rPr>
        <w:t>R&amp;D</w:t>
      </w:r>
      <w:r>
        <w:rPr>
          <w:b w:val="0"/>
          <w:i w:val="0"/>
          <w:smallCaps w:val="0"/>
          <w:strike w:val="0"/>
          <w:u w:val="none"/>
        </w:rPr>
        <w:t xml:space="preserve">) </w:t>
      </w:r>
      <w:r>
        <w:rPr>
          <w:b w:val="0"/>
          <w:i w:val="0"/>
          <w:smallCaps w:val="0"/>
          <w:strike w:val="0"/>
          <w:sz w:val="22"/>
          <w:u w:val="single"/>
        </w:rPr>
        <w:t>along multiple axis.</w:t>
      </w:r>
      <w:r>
        <w:rPr>
          <w:b w:val="0"/>
          <w:i w:val="0"/>
          <w:smallCaps w:val="0"/>
          <w:strike w:val="0"/>
          <w:u w:val="none"/>
        </w:rPr>
        <w:t xml:space="preserve"> Here we consider the free market portion of these tools, in which </w:t>
      </w:r>
      <w:r>
        <w:rPr>
          <w:b w:val="0"/>
          <w:i w:val="0"/>
          <w:smallCaps w:val="0"/>
          <w:strike w:val="0"/>
          <w:sz w:val="22"/>
          <w:u w:val="single"/>
        </w:rPr>
        <w:t>the private sector plays a key role in determining topic and direction, while the public sector supports these activities through high-level directives, conditional contracts, and other mechanisms</w:t>
      </w:r>
      <w:r>
        <w:rPr>
          <w:b w:val="0"/>
          <w:i w:val="0"/>
          <w:smallCaps w:val="0"/>
          <w:strike w:val="0"/>
          <w:u w:val="none"/>
        </w:rPr>
        <w:t>. While other approaches such as public purpose consortia and R&amp;D tax credits have been considered elsewhere, here we focus on Advance Market Commitments.</w:t>
      </w:r>
    </w:p>
    <w:p>
      <w:pPr>
        <w:spacing w:after="60"/>
      </w:pPr>
      <w:r>
        <w:rPr>
          <w:b w:val="0"/>
          <w:i w:val="0"/>
          <w:smallCaps w:val="0"/>
          <w:strike w:val="0"/>
          <w:u w:val="none"/>
        </w:rPr>
        <w:t>Advance Market Commitments (</w:t>
      </w:r>
      <w:r>
        <w:rPr>
          <w:b w:val="0"/>
          <w:i w:val="0"/>
          <w:smallCaps w:val="0"/>
          <w:strike w:val="0"/>
          <w:sz w:val="22"/>
          <w:u w:val="single"/>
        </w:rPr>
        <w:t>AMCs</w:t>
      </w:r>
      <w:r>
        <w:rPr>
          <w:b w:val="0"/>
          <w:i w:val="0"/>
          <w:smallCaps w:val="0"/>
          <w:strike w:val="0"/>
          <w:u w:val="none"/>
        </w:rPr>
        <w:t>)</w:t>
      </w:r>
      <w:r>
        <w:rPr>
          <w:b w:val="0"/>
          <w:i w:val="0"/>
          <w:smallCaps w:val="0"/>
          <w:strike w:val="0"/>
          <w:sz w:val="22"/>
          <w:u w:val="single"/>
        </w:rPr>
        <w:t xml:space="preserve">are a </w:t>
      </w:r>
      <w:r>
        <w:rPr>
          <w:b/>
          <w:i w:val="0"/>
          <w:smallCaps w:val="0"/>
          <w:strike w:val="0"/>
          <w:sz w:val="22"/>
          <w:u w:val="single"/>
        </w:rPr>
        <w:t>powerful policy tools</w:t>
      </w:r>
      <w:r>
        <w:rPr>
          <w:b w:val="0"/>
          <w:i w:val="0"/>
          <w:smallCaps w:val="0"/>
          <w:strike w:val="0"/>
          <w:sz w:val="22"/>
          <w:u w:val="single"/>
        </w:rPr>
        <w:t xml:space="preserve"> that can be used to ensure that America can retains </w:t>
      </w:r>
      <w:r>
        <w:rPr>
          <w:b/>
          <w:i w:val="0"/>
          <w:smallCaps w:val="0"/>
          <w:strike w:val="0"/>
          <w:sz w:val="22"/>
          <w:u w:val="single"/>
        </w:rPr>
        <w:t>leadership in technology fields</w:t>
      </w:r>
      <w:r>
        <w:rPr>
          <w:b w:val="0"/>
          <w:i w:val="0"/>
          <w:smallCaps w:val="0"/>
          <w:strike w:val="0"/>
          <w:sz w:val="22"/>
          <w:u w:val="single"/>
        </w:rPr>
        <w:t xml:space="preserve"> such as climate change, computing, and medicine</w:t>
      </w:r>
      <w:r>
        <w:rPr>
          <w:b w:val="0"/>
          <w:i w:val="0"/>
          <w:smallCaps w:val="0"/>
          <w:strike w:val="0"/>
          <w:u w:val="none"/>
        </w:rPr>
        <w:t xml:space="preserve">. In an AMC, </w:t>
      </w:r>
      <w:r>
        <w:rPr>
          <w:b w:val="0"/>
          <w:i w:val="0"/>
          <w:smallCaps w:val="0"/>
          <w:strike w:val="0"/>
          <w:sz w:val="22"/>
          <w:u w:val="single"/>
        </w:rPr>
        <w:t xml:space="preserve">a U.S. agency commits to buying some specified new technology before that technology exists. This provides a price, specification, and framework for evaluation that can </w:t>
      </w:r>
      <w:r>
        <w:rPr>
          <w:b/>
          <w:i w:val="0"/>
          <w:smallCaps w:val="0"/>
          <w:strike w:val="0"/>
          <w:sz w:val="22"/>
          <w:u w:val="single"/>
        </w:rPr>
        <w:t>streamline decision making</w:t>
      </w:r>
      <w:r>
        <w:rPr>
          <w:b w:val="0"/>
          <w:i w:val="0"/>
          <w:smallCaps w:val="0"/>
          <w:strike w:val="0"/>
          <w:sz w:val="22"/>
          <w:u w:val="single"/>
        </w:rPr>
        <w:t xml:space="preserve"> and funding approaches in the private sector and </w:t>
      </w:r>
      <w:r>
        <w:rPr>
          <w:b/>
          <w:i w:val="0"/>
          <w:smallCaps w:val="0"/>
          <w:strike w:val="0"/>
          <w:sz w:val="22"/>
          <w:u w:val="single"/>
        </w:rPr>
        <w:t>accelerate progress</w:t>
      </w:r>
      <w:r>
        <w:rPr>
          <w:b w:val="0"/>
          <w:i w:val="0"/>
          <w:smallCaps w:val="0"/>
          <w:strike w:val="0"/>
          <w:sz w:val="22"/>
          <w:u w:val="single"/>
        </w:rPr>
        <w:t xml:space="preserve"> towards well defined technical outcomes without being directed about the underlying solution and steps along the path</w:t>
      </w:r>
      <w:r>
        <w:rPr>
          <w:b w:val="0"/>
          <w:i w:val="0"/>
          <w:smallCaps w:val="0"/>
          <w:strike w:val="0"/>
          <w:u w:val="none"/>
        </w:rPr>
        <w:t xml:space="preserve">. As such, </w:t>
      </w:r>
      <w:r>
        <w:rPr>
          <w:b w:val="0"/>
          <w:i w:val="0"/>
          <w:smallCaps w:val="0"/>
          <w:strike w:val="0"/>
          <w:sz w:val="22"/>
          <w:u w:val="single"/>
        </w:rPr>
        <w:t xml:space="preserve">AMCs represent a </w:t>
      </w:r>
      <w:r>
        <w:rPr>
          <w:b/>
          <w:i w:val="0"/>
          <w:smallCaps w:val="0"/>
          <w:strike w:val="0"/>
          <w:sz w:val="22"/>
          <w:u w:val="single"/>
        </w:rPr>
        <w:t>powerful option for ground-up technological building</w:t>
      </w:r>
      <w:r>
        <w:rPr>
          <w:b w:val="0"/>
          <w:i w:val="0"/>
          <w:smallCaps w:val="0"/>
          <w:strike w:val="0"/>
          <w:sz w:val="22"/>
          <w:u w:val="single"/>
        </w:rPr>
        <w:t xml:space="preserve"> where private investment replaces the role of more traditional, blue sky government funding, and the larger market for the resulting product is jump-started by an initial government market</w:t>
      </w:r>
      <w:r>
        <w:rPr>
          <w:b w:val="0"/>
          <w:i w:val="0"/>
          <w:smallCaps w:val="0"/>
          <w:strike w:val="0"/>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