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It’ll never </w:t>
      </w:r>
      <w:r>
        <w:rPr>
          <w:b/>
          <w:i w:val="0"/>
          <w:smallCaps w:val="0"/>
          <w:strike w:val="0"/>
          <w:sz w:val="26"/>
          <w:u w:val="single"/>
        </w:rPr>
        <w:t>escalate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Cliffe ’16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>Sarah</w:t>
      </w:r>
      <w:r>
        <w:rPr>
          <w:b w:val="0"/>
          <w:i w:val="0"/>
          <w:smallCaps w:val="0"/>
          <w:strike w:val="0"/>
          <w:u w:val="none"/>
        </w:rPr>
        <w:t>; March 29;</w:t>
      </w:r>
      <w:r>
        <w:rPr>
          <w:b w:val="0"/>
          <w:i w:val="0"/>
          <w:smallCaps w:val="0"/>
          <w:strike w:val="0"/>
          <w:u w:val="none"/>
        </w:rPr>
        <w:t xml:space="preserve"> Director of the Center on International Cooperation at New York University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 xml:space="preserve">“Food Security, Nutrition, and Peace,” </w:t>
      </w:r>
      <w:r>
        <w:rPr>
          <w:b w:val="0"/>
          <w:i w:val="0"/>
          <w:smallCaps w:val="0"/>
          <w:strike w:val="0"/>
          <w:u w:val="none"/>
        </w:rPr>
        <w:t>Center on International Cooperation at New York University</w:t>
      </w:r>
      <w:r>
        <w:rPr>
          <w:b w:val="0"/>
          <w:i w:val="0"/>
          <w:smallCaps w:val="0"/>
          <w:strike w:val="0"/>
          <w:u w:val="none"/>
        </w:rPr>
        <w:t>http://cic.nyu.edu/news_commentary/food-security-nutrition-and-peace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</w:t>
      </w:r>
      <w:r>
        <w:rPr>
          <w:b/>
          <w:i w:val="0"/>
          <w:smallCaps w:val="0"/>
          <w:strike w:val="0"/>
          <w:sz w:val="22"/>
          <w:u w:val="single"/>
        </w:rPr>
        <w:t xml:space="preserve">current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research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does 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yet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indicate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/>
          <w:i w:val="0"/>
          <w:smallCaps w:val="0"/>
          <w:strike w:val="0"/>
          <w:sz w:val="22"/>
          <w:u w:val="single"/>
        </w:rPr>
        <w:t xml:space="preserve"> clear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link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between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climate change,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insecurity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conflict</w:t>
      </w:r>
      <w:r>
        <w:rPr>
          <w:b w:val="0"/>
          <w:i w:val="0"/>
          <w:smallCaps w:val="0"/>
          <w:strike w:val="0"/>
          <w:sz w:val="16"/>
          <w:u w:val="none"/>
        </w:rPr>
        <w:t>, except perhaps where rapidly deteriorating water availability cuts across existing tensions and weak institutions. But a series of interlinked problems – changing global patterns of consumption of energy and scarce resources, increasing demands for food imports (which draw on land, water, and energy inputs) can create pressure on fragile situations.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Food security – and food prices – are a highly political issue, being a very immediate and visible source of popular welfare or popular uncertainty. But their link to conflict (and the wider links between climate change and conflict) is indirect rather than direct.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What makes some countries more resilient than others?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Many countries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face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food</w:t>
      </w:r>
      <w:r>
        <w:rPr>
          <w:b/>
          <w:i w:val="0"/>
          <w:smallCaps w:val="0"/>
          <w:strike w:val="0"/>
          <w:sz w:val="22"/>
          <w:u w:val="single"/>
        </w:rPr>
        <w:t xml:space="preserve"> price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u w:val="single"/>
        </w:rPr>
        <w:t xml:space="preserve">natural resource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shocks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falling into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conflict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Essentially, the </w:t>
      </w:r>
      <w:r>
        <w:rPr>
          <w:b w:val="0"/>
          <w:i w:val="0"/>
          <w:smallCaps w:val="0"/>
          <w:strike w:val="0"/>
          <w:sz w:val="16"/>
          <w:u w:val="none"/>
        </w:rPr>
        <w:t>two important factors in determining their resilience are: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First, whether food insecurity is combined with other stresses – issues such as unemployment, but most fundamentally issues such as political exclusion or human rights abuses. We sometimes read nowadays that the 2006-2009 drought was a factor in the Syrian conflict, by driving rural-urban migration that caused societal stresses. It may of course have been one factor amongst many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would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too simplistic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suggest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was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primary driver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Syrian conflict.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Second,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whether countries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strong enough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institutions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fulfill a social compact with their citizens,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providing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help</w:t>
      </w:r>
      <w:r>
        <w:rPr>
          <w:b/>
          <w:i w:val="0"/>
          <w:smallCaps w:val="0"/>
          <w:strike w:val="0"/>
          <w:sz w:val="22"/>
          <w:u w:val="single"/>
        </w:rPr>
        <w:t xml:space="preserve"> quickly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citizens affected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food insecurity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or without international assistance. During the 2007-2008 food crisis, developing countries with low institutional strength experienced more food price protests than those with higher institutional strengths, and more than half these protests turned violent.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example,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difference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events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Haiti versus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Mexico or the Philippines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far greater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institutional strength existed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deal with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price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shocks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protests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did not spur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deteriorating national 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widespread violence.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