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Takes 18 months at most.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Allison </w:t>
      </w:r>
      <w:r>
        <w:rPr>
          <w:b/>
          <w:i w:val="0"/>
          <w:smallCaps w:val="0"/>
          <w:strike w:val="0"/>
          <w:sz w:val="26"/>
          <w:u w:val="none"/>
        </w:rPr>
        <w:t>Don 14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 xml:space="preserve">has published as part of University of Minnesota Law School Scholarship Repository, 2014, </w:t>
      </w:r>
      <w:r>
        <w:rPr>
          <w:b w:val="0"/>
          <w:i w:val="0"/>
          <w:smallCaps w:val="0"/>
          <w:strike w:val="0"/>
          <w:u w:val="none"/>
        </w:rPr>
        <w:t>"</w:t>
      </w:r>
      <w:r>
        <w:rPr>
          <w:b w:val="0"/>
          <w:i w:val="0"/>
          <w:smallCaps w:val="0"/>
          <w:strike w:val="0"/>
          <w:u w:val="none"/>
        </w:rPr>
        <w:t>Lighten Up – Amending the Single Convention on Narcotic Drugs</w:t>
      </w:r>
      <w:r>
        <w:rPr>
          <w:b w:val="0"/>
          <w:i w:val="0"/>
          <w:smallCaps w:val="0"/>
          <w:strike w:val="0"/>
          <w:u w:val="none"/>
        </w:rPr>
        <w:t>," Minnesota Journ</w:t>
      </w:r>
      <w:r>
        <w:rPr>
          <w:b w:val="0"/>
          <w:i w:val="0"/>
          <w:smallCaps w:val="0"/>
          <w:strike w:val="0"/>
          <w:u w:val="none"/>
        </w:rPr>
        <w:t>al of International Law</w:t>
      </w:r>
      <w:r>
        <w:rPr>
          <w:b w:val="0"/>
          <w:i w:val="0"/>
          <w:smallCaps w:val="0"/>
          <w:strike w:val="0"/>
          <w:u w:val="none"/>
        </w:rPr>
        <w:t>, https://scholarship.law.umn.edu/cgi/viewcontent.cgi?article=1278&amp;context=mjil, anita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Article 47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within the Single Convention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provides instructions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for amending the treaty</w:t>
      </w:r>
      <w:r>
        <w:rPr>
          <w:b w:val="0"/>
          <w:i w:val="0"/>
          <w:smallCaps w:val="0"/>
          <w:strike w:val="0"/>
          <w:sz w:val="22"/>
          <w:u w:val="single"/>
        </w:rPr>
        <w:t>, stating that “[a]ny [</w:t>
      </w:r>
      <w:r>
        <w:rPr>
          <w:b/>
          <w:i w:val="0"/>
          <w:smallCaps w:val="0"/>
          <w:strike w:val="0"/>
          <w:sz w:val="22"/>
          <w:u w:val="single"/>
        </w:rPr>
        <w:t>p]arty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may </w:t>
      </w:r>
      <w:r>
        <w:rPr>
          <w:b/>
          <w:i w:val="0"/>
          <w:smallCaps w:val="0"/>
          <w:strike w:val="0"/>
          <w:sz w:val="22"/>
          <w:u w:val="single"/>
        </w:rPr>
        <w:t>propose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 </w:t>
      </w:r>
      <w:r>
        <w:rPr>
          <w:b/>
          <w:i w:val="0"/>
          <w:smallCaps w:val="0"/>
          <w:strike w:val="0"/>
          <w:sz w:val="22"/>
          <w:u w:val="single"/>
        </w:rPr>
        <w:t>amendment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this Convention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.”156 In order to make such a proposal, the amendment itself and the reasons behind the amendment must be transferred to the Secretary-General of the United Nations in writing who will then disseminate the proposed amendment to the other parties of the treaty and the Commission. At this point,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Commission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has the power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decide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if a </w:t>
      </w:r>
      <w:r>
        <w:rPr>
          <w:b/>
          <w:i w:val="0"/>
          <w:smallCaps w:val="0"/>
          <w:strike w:val="0"/>
          <w:sz w:val="22"/>
          <w:u w:val="single"/>
        </w:rPr>
        <w:t>conference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should be held to discuss the proposal or if the </w:t>
      </w:r>
      <w:r>
        <w:rPr>
          <w:b/>
          <w:i w:val="0"/>
          <w:smallCaps w:val="0"/>
          <w:strike w:val="0"/>
          <w:sz w:val="22"/>
          <w:u w:val="single"/>
        </w:rPr>
        <w:t>parties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should simply be </w:t>
      </w:r>
      <w:r>
        <w:rPr>
          <w:b/>
          <w:i w:val="0"/>
          <w:smallCaps w:val="0"/>
          <w:strike w:val="0"/>
          <w:sz w:val="22"/>
          <w:u w:val="single"/>
        </w:rPr>
        <w:t>asked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if they are willing to accept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.157 If there is no objection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within 18 months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the amendment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becomes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fully adopted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; if there is an objection, the Commission may then choose to hold a conference to review the proposal.158 </w:t>
      </w:r>
    </w:p>
    <w:p>
      <w:pPr>
        <w:pStyle w:val="Caption"/>
      </w:pPr>
      <w:r>
        <w:t>Source: Marijuana Neg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