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Treaty noncompliance through conflicting domestic law wrecks the effectiveness of US leadership</w:t>
      </w:r>
    </w:p>
    <w:p>
      <w:pPr>
        <w:spacing w:after="80"/>
      </w:pPr>
      <w:r>
        <w:rPr>
          <w:b/>
          <w:i w:val="0"/>
          <w:smallCaps w:val="0"/>
          <w:strike w:val="0"/>
          <w:u w:val="none"/>
        </w:rPr>
        <w:t xml:space="preserve">Bellinger et al, 13 – </w:t>
      </w:r>
      <w:r>
        <w:rPr>
          <w:b w:val="0"/>
          <w:i w:val="0"/>
          <w:smallCaps w:val="0"/>
          <w:strike w:val="0"/>
          <w:u w:val="none"/>
        </w:rPr>
        <w:t xml:space="preserve">Council of Record for the Brief of Former State Department Legal Advisors (John, Amicus Brief in Carole Anne Bond v. United States of America, SCOTUS 12-158, </w:t>
      </w:r>
      <w:r>
        <w:rPr>
          <w:b w:val="0"/>
          <w:i w:val="0"/>
          <w:smallCaps w:val="0"/>
          <w:strike w:val="0"/>
          <w:u w:val="none"/>
        </w:rPr>
        <w:t>http://www.americanbar.org/content/dam/aba/publications/supreme_court_preview/briefs-v2/12-158_resp_amcu_fsdl.authcheckdam.pdf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Constitution reflects the Framers’ recognition, based on experience under the Articles of Confederation, that the power to enter and implement treaties must rest with the national government in order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 effective sovereign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on the international stage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Those same imperatives pertain today.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power to make treaties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need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implement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inherently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intertwined. If Congress cannot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fully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implement a valid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ly executed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treaty,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may be unable to honor its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international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commitments. This would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undercut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United States’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foreign policy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priorities,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diminish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President’s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leverage to pressure nations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comply with their own obligations,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injure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 w:val="0"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tates’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credibility as a world leader</w:t>
      </w:r>
      <w:r>
        <w:rPr>
          <w:b w:val="0"/>
          <w:i w:val="0"/>
          <w:smallCaps w:val="0"/>
          <w:strike w:val="0"/>
          <w:sz w:val="16"/>
          <w:u w:val="none"/>
        </w:rPr>
        <w:t>—not to mention undermine the efficacy of the treaty itself.</w:t>
      </w:r>
    </w:p>
    <w:p>
      <w:pPr>
        <w:pStyle w:val="Caption"/>
      </w:pPr>
      <w:r>
        <w:t>Source: Marijuana Neg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