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w:t>
      </w:r>
      <w:r>
        <w:rPr>
          <w:b/>
          <w:i w:val="0"/>
          <w:smallCaps w:val="0"/>
          <w:strike w:val="0"/>
          <w:sz w:val="26"/>
          <w:u w:val="single"/>
        </w:rPr>
        <w:t>administer</w:t>
      </w:r>
      <w:r>
        <w:rPr>
          <w:b/>
          <w:i w:val="0"/>
          <w:smallCaps w:val="0"/>
          <w:strike w:val="0"/>
          <w:sz w:val="26"/>
          <w:u w:val="none"/>
        </w:rPr>
        <w:t xml:space="preserve"> the plan.</w:t>
      </w:r>
    </w:p>
    <w:p>
      <w:pPr>
        <w:spacing w:after="80"/>
      </w:pPr>
      <w:r>
        <w:rPr>
          <w:b w:val="0"/>
          <w:i w:val="0"/>
          <w:smallCaps w:val="0"/>
          <w:strike w:val="0"/>
          <w:u w:val="none"/>
        </w:rPr>
        <w:t xml:space="preserve">Andres A. </w:t>
      </w:r>
      <w:r>
        <w:rPr>
          <w:b/>
          <w:i w:val="0"/>
          <w:smallCaps w:val="0"/>
          <w:strike w:val="0"/>
          <w:sz w:val="26"/>
          <w:u w:val="none"/>
        </w:rPr>
        <w:t>Gallo 19</w:t>
      </w:r>
      <w:r>
        <w:rPr>
          <w:b w:val="0"/>
          <w:i w:val="0"/>
          <w:smallCaps w:val="0"/>
          <w:strike w:val="0"/>
          <w:u w:val="none"/>
        </w:rPr>
        <w:t>. Economics professor at University of North Florida. Jay P. Kesan. Patent Attorney. August 30, 2019. “The political economy of intellectual property reforms.”  Research Handbook on the Economics of Intellectual Property Law. Chapter 21, p 482-509. https://doi-org.proxy.lib.umich.edu/10.4337/9781789903997.00065 ---ML</w:t>
      </w:r>
    </w:p>
    <w:p>
      <w:pPr>
        <w:spacing w:after="60"/>
      </w:pPr>
      <w:r>
        <w:rPr>
          <w:b w:val="0"/>
          <w:i w:val="0"/>
          <w:smallCaps w:val="0"/>
          <w:strike w:val="0"/>
          <w:sz w:val="16"/>
          <w:u w:val="none"/>
        </w:rPr>
        <w:t xml:space="preserve">The </w:t>
      </w:r>
      <w:r>
        <w:rPr>
          <w:b w:val="0"/>
          <w:i w:val="0"/>
          <w:smallCaps w:val="0"/>
          <w:strike w:val="0"/>
          <w:sz w:val="22"/>
          <w:highlight w:val="cyan"/>
          <w:u w:val="single"/>
        </w:rPr>
        <w:t>USPTO</w:t>
      </w:r>
      <w:r>
        <w:rPr>
          <w:b w:val="0"/>
          <w:i w:val="0"/>
          <w:smallCaps w:val="0"/>
          <w:strike w:val="0"/>
          <w:sz w:val="16"/>
          <w:u w:val="none"/>
        </w:rPr>
        <w:t xml:space="preserve"> is the agency </w:t>
      </w:r>
      <w:r>
        <w:rPr>
          <w:b w:val="0"/>
          <w:i w:val="0"/>
          <w:smallCaps w:val="0"/>
          <w:strike w:val="0"/>
          <w:sz w:val="22"/>
          <w:u w:val="single"/>
        </w:rPr>
        <w:t xml:space="preserve">tasked with </w:t>
      </w:r>
      <w:r>
        <w:rPr>
          <w:b/>
          <w:i w:val="0"/>
          <w:smallCaps w:val="0"/>
          <w:strike w:val="0"/>
          <w:sz w:val="22"/>
          <w:highlight w:val="cyan"/>
          <w:u w:val="single"/>
        </w:rPr>
        <w:t>administering</w:t>
      </w:r>
      <w:r>
        <w:rPr>
          <w:b w:val="0"/>
          <w:i w:val="0"/>
          <w:smallCaps w:val="0"/>
          <w:strike w:val="0"/>
          <w:sz w:val="22"/>
          <w:highlight w:val="cyan"/>
          <w:u w:val="single"/>
        </w:rPr>
        <w:t xml:space="preserve"> the</w:t>
      </w:r>
      <w:r>
        <w:rPr>
          <w:b w:val="0"/>
          <w:i w:val="0"/>
          <w:smallCaps w:val="0"/>
          <w:strike w:val="0"/>
          <w:sz w:val="22"/>
          <w:u w:val="single"/>
        </w:rPr>
        <w:t xml:space="preserve"> patent and </w:t>
      </w:r>
      <w:r>
        <w:rPr>
          <w:b/>
          <w:i w:val="0"/>
          <w:smallCaps w:val="0"/>
          <w:strike w:val="0"/>
          <w:sz w:val="22"/>
          <w:highlight w:val="cyan"/>
          <w:u w:val="single"/>
        </w:rPr>
        <w:t>trademark systems</w:t>
      </w:r>
      <w:r>
        <w:rPr>
          <w:b w:val="0"/>
          <w:i w:val="0"/>
          <w:smallCaps w:val="0"/>
          <w:strike w:val="0"/>
          <w:sz w:val="16"/>
          <w:u w:val="none"/>
        </w:rPr>
        <w:t xml:space="preserve">. It handles examination of patent and trademark applications, and provides certain administrative </w:t>
      </w:r>
      <w:r>
        <w:rPr>
          <w:b w:val="0"/>
          <w:i w:val="0"/>
          <w:smallCaps w:val="0"/>
          <w:strike w:val="0"/>
          <w:sz w:val="22"/>
          <w:u w:val="single"/>
        </w:rPr>
        <w:t>review proceedings</w:t>
      </w:r>
      <w:r>
        <w:rPr>
          <w:b w:val="0"/>
          <w:i w:val="0"/>
          <w:smallCaps w:val="0"/>
          <w:strike w:val="0"/>
          <w:sz w:val="16"/>
          <w:u w:val="none"/>
        </w:rPr>
        <w:t xml:space="preserve"> that </w:t>
      </w:r>
      <w:r>
        <w:rPr>
          <w:b/>
          <w:i w:val="0"/>
          <w:smallCaps w:val="0"/>
          <w:strike w:val="0"/>
          <w:sz w:val="22"/>
          <w:highlight w:val="cyan"/>
          <w:u w:val="single"/>
        </w:rPr>
        <w:t>complement</w:t>
      </w:r>
      <w:r>
        <w:rPr>
          <w:b w:val="0"/>
          <w:i w:val="0"/>
          <w:smallCaps w:val="0"/>
          <w:strike w:val="0"/>
          <w:sz w:val="22"/>
          <w:highlight w:val="cyan"/>
          <w:u w:val="single"/>
        </w:rPr>
        <w:t xml:space="preserve"> or</w:t>
      </w:r>
      <w:r>
        <w:rPr>
          <w:b w:val="0"/>
          <w:i w:val="0"/>
          <w:smallCaps w:val="0"/>
          <w:strike w:val="0"/>
          <w:sz w:val="22"/>
          <w:u w:val="single"/>
        </w:rPr>
        <w:t xml:space="preserve"> act as </w:t>
      </w:r>
      <w:r>
        <w:rPr>
          <w:b/>
          <w:i w:val="0"/>
          <w:smallCaps w:val="0"/>
          <w:strike w:val="0"/>
          <w:sz w:val="22"/>
          <w:highlight w:val="cyan"/>
          <w:u w:val="single"/>
        </w:rPr>
        <w:t>alternatives</w:t>
      </w:r>
      <w:r>
        <w:rPr>
          <w:b w:val="0"/>
          <w:i w:val="0"/>
          <w:smallCaps w:val="0"/>
          <w:strike w:val="0"/>
          <w:sz w:val="22"/>
          <w:highlight w:val="cyan"/>
          <w:u w:val="single"/>
        </w:rPr>
        <w:t xml:space="preserve"> to litigation</w:t>
      </w:r>
      <w:r>
        <w:rPr>
          <w:b w:val="0"/>
          <w:i w:val="0"/>
          <w:smallCaps w:val="0"/>
          <w:strike w:val="0"/>
          <w:sz w:val="16"/>
          <w:u w:val="none"/>
        </w:rPr>
        <w:t xml:space="preserve"> (USPTO, 2015, 2017). One obvious concern is that, as an agency that derives its power from Congressional mandates, the USPTO is inherently susceptible to whatever political processes go on in Congress. If this were the whole story, USPTO policies would be expected to line up closely with the patent policy attitudes of the legislature. The reality is certainly more nuanced.</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