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Legalization </w:t>
      </w:r>
      <w:r>
        <w:rPr>
          <w:b/>
          <w:i w:val="0"/>
          <w:smallCaps w:val="0"/>
          <w:strike w:val="0"/>
          <w:sz w:val="26"/>
          <w:u w:val="single"/>
        </w:rPr>
        <w:t>increases</w:t>
      </w:r>
      <w:r>
        <w:rPr>
          <w:b/>
          <w:i w:val="0"/>
          <w:smallCaps w:val="0"/>
          <w:strike w:val="0"/>
          <w:sz w:val="26"/>
          <w:u w:val="none"/>
        </w:rPr>
        <w:t xml:space="preserve"> </w:t>
      </w:r>
      <w:r>
        <w:rPr>
          <w:b/>
          <w:i w:val="0"/>
          <w:smallCaps w:val="0"/>
          <w:strike w:val="0"/>
          <w:sz w:val="26"/>
          <w:u w:val="none"/>
        </w:rPr>
        <w:t>trademark</w:t>
      </w:r>
      <w:r>
        <w:rPr>
          <w:b/>
          <w:i w:val="0"/>
          <w:smallCaps w:val="0"/>
          <w:strike w:val="0"/>
          <w:sz w:val="26"/>
          <w:u w:val="none"/>
        </w:rPr>
        <w:t xml:space="preserve"> litigation---proven by the alcohol prohibition. </w:t>
      </w:r>
    </w:p>
    <w:p>
      <w:pPr>
        <w:spacing w:after="80"/>
      </w:pPr>
      <w:r>
        <w:rPr>
          <w:b w:val="0"/>
          <w:i w:val="0"/>
          <w:smallCaps w:val="0"/>
          <w:strike w:val="0"/>
          <w:u w:val="none"/>
        </w:rPr>
        <w:t xml:space="preserve">Joshua </w:t>
      </w:r>
      <w:r>
        <w:rPr>
          <w:b/>
          <w:i w:val="0"/>
          <w:smallCaps w:val="0"/>
          <w:strike w:val="0"/>
          <w:sz w:val="26"/>
          <w:u w:val="none"/>
        </w:rPr>
        <w:t>Trombley 24</w:t>
      </w:r>
      <w:r>
        <w:rPr>
          <w:b w:val="0"/>
          <w:i w:val="0"/>
          <w:smallCaps w:val="0"/>
          <w:strike w:val="0"/>
          <w:u w:val="none"/>
        </w:rPr>
        <w:t xml:space="preserve">, senior attorney at Clark Hill, 5/6/2024, “Cannabis Reclassification: Litigation Impact,” </w:t>
      </w:r>
      <w:r>
        <w:rPr>
          <w:b w:val="0"/>
          <w:i w:val="0"/>
          <w:smallCaps w:val="0"/>
          <w:strike w:val="0"/>
          <w:u w:val="none"/>
        </w:rPr>
        <w:t>https://www.clarkhill.com/news-events/news/cannabis-reclassification-litigation-impact/</w:t>
      </w:r>
      <w:r>
        <w:rPr>
          <w:b w:val="0"/>
          <w:i w:val="0"/>
          <w:smallCaps w:val="0"/>
          <w:strike w:val="0"/>
          <w:u w:val="none"/>
        </w:rPr>
        <w:t>, kav</w:t>
      </w:r>
    </w:p>
    <w:p>
      <w:pPr>
        <w:spacing w:after="60"/>
      </w:pPr>
      <w:r>
        <w:rPr>
          <w:b w:val="0"/>
          <w:i w:val="0"/>
          <w:smallCaps w:val="0"/>
          <w:strike w:val="0"/>
          <w:sz w:val="16"/>
          <w:u w:val="none"/>
        </w:rPr>
        <w:t xml:space="preserve">Further, the reclassification does not resolve the lack of availability of federal trademark registrations for state cannabis companies. Currently, federal trademark registrations are not available for state-cannabis companies due to the illegal status of cannabis at the federal level. As the rescheduling of cannabis from Schedule I to Schedule III has no impact on the federal legality of cannabis, state-cannabis companies still remain without access to federal trademark protection. However, this reclassification raises the stakes of potential trademark infringement in the future. Indeed, </w:t>
      </w:r>
      <w:r>
        <w:rPr>
          <w:b w:val="0"/>
          <w:i w:val="0"/>
          <w:smallCaps w:val="0"/>
          <w:strike w:val="0"/>
          <w:sz w:val="22"/>
          <w:highlight w:val="cyan"/>
          <w:u w:val="single"/>
        </w:rPr>
        <w:t>as cannabis becomes</w:t>
      </w:r>
      <w:r>
        <w:rPr>
          <w:b w:val="0"/>
          <w:i w:val="0"/>
          <w:smallCaps w:val="0"/>
          <w:strike w:val="0"/>
          <w:sz w:val="22"/>
          <w:u w:val="single"/>
        </w:rPr>
        <w:t xml:space="preserve"> more </w:t>
      </w:r>
      <w:r>
        <w:rPr>
          <w:b/>
          <w:i w:val="0"/>
          <w:smallCaps w:val="0"/>
          <w:strike w:val="0"/>
          <w:sz w:val="22"/>
          <w:highlight w:val="cyan"/>
          <w:u w:val="single"/>
        </w:rPr>
        <w:t>prominent</w:t>
      </w:r>
      <w:r>
        <w:rPr>
          <w:b w:val="0"/>
          <w:i w:val="0"/>
          <w:smallCaps w:val="0"/>
          <w:strike w:val="0"/>
          <w:sz w:val="22"/>
          <w:u w:val="single"/>
        </w:rPr>
        <w:t xml:space="preserve"> and </w:t>
      </w:r>
      <w:r>
        <w:rPr>
          <w:b/>
          <w:i w:val="0"/>
          <w:smallCaps w:val="0"/>
          <w:strike w:val="0"/>
          <w:sz w:val="22"/>
          <w:highlight w:val="cyan"/>
          <w:u w:val="single"/>
        </w:rPr>
        <w:t>regulation</w:t>
      </w:r>
      <w:r>
        <w:rPr>
          <w:b/>
          <w:i w:val="0"/>
          <w:smallCaps w:val="0"/>
          <w:strike w:val="0"/>
          <w:sz w:val="22"/>
          <w:u w:val="single"/>
        </w:rPr>
        <w:t xml:space="preserve"> efforts</w:t>
      </w:r>
      <w:r>
        <w:rPr>
          <w:b w:val="0"/>
          <w:i w:val="0"/>
          <w:smallCaps w:val="0"/>
          <w:strike w:val="0"/>
          <w:sz w:val="22"/>
          <w:u w:val="single"/>
        </w:rPr>
        <w:t xml:space="preserve"> on the local, state, and federal level </w:t>
      </w:r>
      <w:r>
        <w:rPr>
          <w:b w:val="0"/>
          <w:i w:val="0"/>
          <w:smallCaps w:val="0"/>
          <w:strike w:val="0"/>
          <w:sz w:val="22"/>
          <w:highlight w:val="cyan"/>
          <w:u w:val="single"/>
        </w:rPr>
        <w:t>head towards varying</w:t>
      </w:r>
      <w:r>
        <w:rPr>
          <w:b w:val="0"/>
          <w:i w:val="0"/>
          <w:smallCaps w:val="0"/>
          <w:strike w:val="0"/>
          <w:sz w:val="22"/>
          <w:u w:val="single"/>
        </w:rPr>
        <w:t xml:space="preserve"> levels of </w:t>
      </w:r>
      <w:r>
        <w:rPr>
          <w:b w:val="0"/>
          <w:i w:val="0"/>
          <w:smallCaps w:val="0"/>
          <w:strike w:val="0"/>
          <w:sz w:val="22"/>
          <w:highlight w:val="cyan"/>
          <w:u w:val="single"/>
        </w:rPr>
        <w:t>legalization</w:t>
      </w:r>
      <w:r>
        <w:rPr>
          <w:b w:val="0"/>
          <w:i w:val="0"/>
          <w:smallCaps w:val="0"/>
          <w:strike w:val="0"/>
          <w:sz w:val="22"/>
          <w:u w:val="single"/>
        </w:rPr>
        <w:t xml:space="preserve">, history shows that </w:t>
      </w:r>
      <w:r>
        <w:rPr>
          <w:b/>
          <w:i w:val="0"/>
          <w:smallCaps w:val="0"/>
          <w:strike w:val="0"/>
          <w:sz w:val="22"/>
          <w:highlight w:val="cyan"/>
          <w:u w:val="single"/>
        </w:rPr>
        <w:t>trademark</w:t>
      </w:r>
      <w:r>
        <w:rPr>
          <w:b/>
          <w:i w:val="0"/>
          <w:smallCaps w:val="0"/>
          <w:strike w:val="0"/>
          <w:sz w:val="22"/>
          <w:u w:val="single"/>
        </w:rPr>
        <w:t xml:space="preserve"> infringement </w:t>
      </w:r>
      <w:r>
        <w:rPr>
          <w:b/>
          <w:i w:val="0"/>
          <w:smallCaps w:val="0"/>
          <w:strike w:val="0"/>
          <w:sz w:val="22"/>
          <w:highlight w:val="cyan"/>
          <w:u w:val="single"/>
        </w:rPr>
        <w:t>lawsuits</w:t>
      </w:r>
      <w:r>
        <w:rPr>
          <w:b w:val="0"/>
          <w:i w:val="0"/>
          <w:smallCaps w:val="0"/>
          <w:strike w:val="0"/>
          <w:sz w:val="22"/>
          <w:highlight w:val="cyan"/>
          <w:u w:val="single"/>
        </w:rPr>
        <w:t xml:space="preserve"> will grow</w:t>
      </w:r>
      <w:r>
        <w:rPr>
          <w:b w:val="0"/>
          <w:i w:val="0"/>
          <w:smallCaps w:val="0"/>
          <w:strike w:val="0"/>
          <w:sz w:val="22"/>
          <w:u w:val="single"/>
        </w:rPr>
        <w:t xml:space="preserve"> </w:t>
      </w:r>
      <w:r>
        <w:rPr>
          <w:b/>
          <w:i w:val="0"/>
          <w:smallCaps w:val="0"/>
          <w:strike w:val="0"/>
          <w:sz w:val="22"/>
          <w:u w:val="single"/>
        </w:rPr>
        <w:t xml:space="preserve">increasingly </w:t>
      </w:r>
      <w:r>
        <w:rPr>
          <w:b/>
          <w:i w:val="0"/>
          <w:smallCaps w:val="0"/>
          <w:strike w:val="0"/>
          <w:sz w:val="22"/>
          <w:highlight w:val="cyan"/>
          <w:u w:val="single"/>
        </w:rPr>
        <w:t>common</w:t>
      </w:r>
      <w:r>
        <w:rPr>
          <w:b w:val="0"/>
          <w:i w:val="0"/>
          <w:smallCaps w:val="0"/>
          <w:strike w:val="0"/>
          <w:sz w:val="22"/>
          <w:u w:val="single"/>
        </w:rPr>
        <w:t>.</w:t>
      </w:r>
    </w:p>
    <w:p>
      <w:pPr>
        <w:spacing w:after="60"/>
      </w:pPr>
      <w:r>
        <w:rPr>
          <w:b w:val="0"/>
          <w:i w:val="0"/>
          <w:smallCaps w:val="0"/>
          <w:strike w:val="0"/>
          <w:sz w:val="22"/>
          <w:highlight w:val="cyan"/>
          <w:u w:val="single"/>
        </w:rPr>
        <w:t>Prohibition</w:t>
      </w:r>
      <w:r>
        <w:rPr>
          <w:b w:val="0"/>
          <w:i w:val="0"/>
          <w:smallCaps w:val="0"/>
          <w:strike w:val="0"/>
          <w:sz w:val="22"/>
          <w:u w:val="single"/>
        </w:rPr>
        <w:t xml:space="preserve"> provides the </w:t>
      </w:r>
      <w:r>
        <w:rPr>
          <w:b/>
          <w:i w:val="0"/>
          <w:smallCaps w:val="0"/>
          <w:strike w:val="0"/>
          <w:sz w:val="22"/>
          <w:highlight w:val="cyan"/>
          <w:u w:val="single"/>
        </w:rPr>
        <w:t>prime example</w:t>
      </w:r>
      <w:r>
        <w:rPr>
          <w:b w:val="0"/>
          <w:i w:val="0"/>
          <w:smallCaps w:val="0"/>
          <w:strike w:val="0"/>
          <w:sz w:val="22"/>
          <w:highlight w:val="cyan"/>
          <w:u w:val="single"/>
        </w:rPr>
        <w:t>. Once alcohol was de-prohibited</w:t>
      </w:r>
      <w:r>
        <w:rPr>
          <w:b w:val="0"/>
          <w:i w:val="0"/>
          <w:smallCaps w:val="0"/>
          <w:strike w:val="0"/>
          <w:sz w:val="22"/>
          <w:u w:val="single"/>
        </w:rPr>
        <w:t xml:space="preserve">, </w:t>
      </w:r>
      <w:r>
        <w:rPr>
          <w:b/>
          <w:i w:val="0"/>
          <w:smallCaps w:val="0"/>
          <w:strike w:val="0"/>
          <w:sz w:val="22"/>
          <w:u w:val="single"/>
        </w:rPr>
        <w:t xml:space="preserve">alcohol </w:t>
      </w:r>
      <w:r>
        <w:rPr>
          <w:b/>
          <w:i w:val="0"/>
          <w:smallCaps w:val="0"/>
          <w:strike w:val="0"/>
          <w:sz w:val="22"/>
          <w:highlight w:val="cyan"/>
          <w:u w:val="single"/>
        </w:rPr>
        <w:t>companies</w:t>
      </w:r>
      <w:r>
        <w:rPr>
          <w:b w:val="0"/>
          <w:i w:val="0"/>
          <w:smallCaps w:val="0"/>
          <w:strike w:val="0"/>
          <w:sz w:val="22"/>
          <w:u w:val="single"/>
        </w:rPr>
        <w:t xml:space="preserve"> were able to </w:t>
      </w:r>
      <w:r>
        <w:rPr>
          <w:b w:val="0"/>
          <w:i w:val="0"/>
          <w:smallCaps w:val="0"/>
          <w:strike w:val="0"/>
          <w:sz w:val="22"/>
          <w:highlight w:val="cyan"/>
          <w:u w:val="single"/>
        </w:rPr>
        <w:t>register for</w:t>
      </w:r>
      <w:r>
        <w:rPr>
          <w:b w:val="0"/>
          <w:i w:val="0"/>
          <w:smallCaps w:val="0"/>
          <w:strike w:val="0"/>
          <w:sz w:val="22"/>
          <w:u w:val="single"/>
        </w:rPr>
        <w:t xml:space="preserve"> </w:t>
      </w:r>
      <w:r>
        <w:rPr>
          <w:b/>
          <w:i w:val="0"/>
          <w:smallCaps w:val="0"/>
          <w:strike w:val="0"/>
          <w:sz w:val="22"/>
          <w:u w:val="single"/>
        </w:rPr>
        <w:t xml:space="preserve">nationwide trademark </w:t>
      </w:r>
      <w:r>
        <w:rPr>
          <w:b/>
          <w:i w:val="0"/>
          <w:smallCaps w:val="0"/>
          <w:strike w:val="0"/>
          <w:sz w:val="22"/>
          <w:highlight w:val="cyan"/>
          <w:u w:val="single"/>
        </w:rPr>
        <w:t>rights</w:t>
      </w:r>
      <w:r>
        <w:rPr>
          <w:b w:val="0"/>
          <w:i w:val="0"/>
          <w:smallCaps w:val="0"/>
          <w:strike w:val="0"/>
          <w:sz w:val="22"/>
          <w:u w:val="single"/>
        </w:rPr>
        <w:t xml:space="preserve">. This led to an </w:t>
      </w:r>
      <w:r>
        <w:rPr>
          <w:b/>
          <w:i w:val="0"/>
          <w:smallCaps w:val="0"/>
          <w:strike w:val="0"/>
          <w:sz w:val="22"/>
          <w:highlight w:val="cyan"/>
          <w:u w:val="single"/>
        </w:rPr>
        <w:t>influx</w:t>
      </w:r>
      <w:r>
        <w:rPr>
          <w:b w:val="0"/>
          <w:i w:val="0"/>
          <w:smallCaps w:val="0"/>
          <w:strike w:val="0"/>
          <w:sz w:val="22"/>
          <w:highlight w:val="cyan"/>
          <w:u w:val="single"/>
        </w:rPr>
        <w:t xml:space="preserve"> of</w:t>
      </w:r>
      <w:r>
        <w:rPr>
          <w:b w:val="0"/>
          <w:i w:val="0"/>
          <w:smallCaps w:val="0"/>
          <w:strike w:val="0"/>
          <w:sz w:val="22"/>
          <w:u w:val="single"/>
        </w:rPr>
        <w:t xml:space="preserve"> trademark </w:t>
      </w:r>
      <w:r>
        <w:rPr>
          <w:b w:val="0"/>
          <w:i w:val="0"/>
          <w:smallCaps w:val="0"/>
          <w:strike w:val="0"/>
          <w:sz w:val="22"/>
          <w:highlight w:val="cyan"/>
          <w:u w:val="single"/>
        </w:rPr>
        <w:t>litigation based on pre-existing trademarked, non-alcohol</w:t>
      </w:r>
      <w:r>
        <w:rPr>
          <w:b w:val="0"/>
          <w:i w:val="0"/>
          <w:smallCaps w:val="0"/>
          <w:strike w:val="0"/>
          <w:sz w:val="22"/>
          <w:u w:val="single"/>
        </w:rPr>
        <w:t xml:space="preserve"> companies </w:t>
      </w:r>
      <w:r>
        <w:rPr>
          <w:b w:val="0"/>
          <w:i w:val="0"/>
          <w:smallCaps w:val="0"/>
          <w:strike w:val="0"/>
          <w:sz w:val="22"/>
          <w:highlight w:val="cyan"/>
          <w:u w:val="single"/>
        </w:rPr>
        <w:t xml:space="preserve">that alleged they had </w:t>
      </w:r>
      <w:r>
        <w:rPr>
          <w:b/>
          <w:i w:val="0"/>
          <w:smallCaps w:val="0"/>
          <w:strike w:val="0"/>
          <w:sz w:val="22"/>
          <w:highlight w:val="cyan"/>
          <w:u w:val="single"/>
        </w:rPr>
        <w:t>priority</w:t>
      </w:r>
      <w:r>
        <w:rPr>
          <w:b w:val="0"/>
          <w:i w:val="0"/>
          <w:smallCaps w:val="0"/>
          <w:strike w:val="0"/>
          <w:sz w:val="22"/>
          <w:u w:val="single"/>
        </w:rPr>
        <w:t xml:space="preserve"> to the trademarked name.</w:t>
      </w:r>
      <w:r>
        <w:rPr>
          <w:b w:val="0"/>
          <w:i w:val="0"/>
          <w:smallCaps w:val="0"/>
          <w:strike w:val="0"/>
          <w:sz w:val="16"/>
          <w:u w:val="none"/>
        </w:rPr>
        <w:t xml:space="preserve"> For example, in James Burrough Ltd. v. Sign of Beefeater, Inc., 540 F.2d 266 (7th Cir. 1976), Burrough was the owner of three trademark registrations for gin, each alleging first use on November 9, 1909. The registrations were for the term “Beefeater.” A restaurant operation in Detroit, Michigan commenced its operation with the notation “Sign of the Beefeater” for their restaurant. The Seventh Circuit concluded that the federal mark for “Beefeater,” had priority based on its first use in 1909. </w:t>
      </w:r>
      <w:r>
        <w:rPr>
          <w:b w:val="0"/>
          <w:i w:val="0"/>
          <w:smallCaps w:val="0"/>
          <w:strike w:val="0"/>
          <w:sz w:val="22"/>
          <w:u w:val="single"/>
        </w:rPr>
        <w:t xml:space="preserve">While cannabis still remains </w:t>
      </w:r>
      <w:r>
        <w:rPr>
          <w:b/>
          <w:i w:val="0"/>
          <w:smallCaps w:val="0"/>
          <w:strike w:val="0"/>
          <w:sz w:val="22"/>
          <w:u w:val="single"/>
        </w:rPr>
        <w:t>illegal</w:t>
      </w:r>
      <w:r>
        <w:rPr>
          <w:b w:val="0"/>
          <w:i w:val="0"/>
          <w:smallCaps w:val="0"/>
          <w:strike w:val="0"/>
          <w:sz w:val="22"/>
          <w:u w:val="single"/>
        </w:rPr>
        <w:t xml:space="preserve"> at the federal level, the </w:t>
      </w:r>
      <w:r>
        <w:rPr>
          <w:b w:val="0"/>
          <w:i w:val="0"/>
          <w:smallCaps w:val="0"/>
          <w:strike w:val="0"/>
          <w:sz w:val="22"/>
          <w:highlight w:val="cyan"/>
          <w:u w:val="single"/>
        </w:rPr>
        <w:t>reclassification signals a</w:t>
      </w:r>
      <w:r>
        <w:rPr>
          <w:b w:val="0"/>
          <w:i w:val="0"/>
          <w:smallCaps w:val="0"/>
          <w:strike w:val="0"/>
          <w:sz w:val="22"/>
          <w:u w:val="single"/>
        </w:rPr>
        <w:t xml:space="preserve"> </w:t>
      </w:r>
      <w:r>
        <w:rPr>
          <w:b/>
          <w:i w:val="0"/>
          <w:smallCaps w:val="0"/>
          <w:strike w:val="0"/>
          <w:sz w:val="22"/>
          <w:u w:val="single"/>
        </w:rPr>
        <w:t xml:space="preserve">growing </w:t>
      </w:r>
      <w:r>
        <w:rPr>
          <w:b/>
          <w:i w:val="0"/>
          <w:smallCaps w:val="0"/>
          <w:strike w:val="0"/>
          <w:sz w:val="22"/>
          <w:highlight w:val="cyan"/>
          <w:u w:val="single"/>
        </w:rPr>
        <w:t>recognition</w:t>
      </w:r>
      <w:r>
        <w:rPr>
          <w:b w:val="0"/>
          <w:i w:val="0"/>
          <w:smallCaps w:val="0"/>
          <w:strike w:val="0"/>
          <w:sz w:val="22"/>
          <w:highlight w:val="cyan"/>
          <w:u w:val="single"/>
        </w:rPr>
        <w:t xml:space="preserve"> of cannabis</w:t>
      </w:r>
      <w:r>
        <w:rPr>
          <w:b w:val="0"/>
          <w:i w:val="0"/>
          <w:smallCaps w:val="0"/>
          <w:strike w:val="0"/>
          <w:sz w:val="22"/>
          <w:u w:val="single"/>
        </w:rPr>
        <w:t xml:space="preserve"> companies </w:t>
      </w:r>
      <w:r>
        <w:rPr>
          <w:b w:val="0"/>
          <w:i w:val="0"/>
          <w:smallCaps w:val="0"/>
          <w:strike w:val="0"/>
          <w:sz w:val="22"/>
          <w:highlight w:val="cyan"/>
          <w:u w:val="single"/>
        </w:rPr>
        <w:t>and</w:t>
      </w:r>
      <w:r>
        <w:rPr>
          <w:b w:val="0"/>
          <w:i w:val="0"/>
          <w:smallCaps w:val="0"/>
          <w:strike w:val="0"/>
          <w:sz w:val="22"/>
          <w:u w:val="single"/>
        </w:rPr>
        <w:t xml:space="preserve"> the </w:t>
      </w:r>
      <w:r>
        <w:rPr>
          <w:b/>
          <w:i w:val="0"/>
          <w:smallCaps w:val="0"/>
          <w:strike w:val="0"/>
          <w:sz w:val="22"/>
          <w:highlight w:val="cyan"/>
          <w:u w:val="single"/>
        </w:rPr>
        <w:t>future</w:t>
      </w:r>
      <w:r>
        <w:rPr>
          <w:b/>
          <w:i w:val="0"/>
          <w:smallCaps w:val="0"/>
          <w:strike w:val="0"/>
          <w:sz w:val="22"/>
          <w:u w:val="single"/>
        </w:rPr>
        <w:t xml:space="preserve"> potential</w:t>
      </w:r>
      <w:r>
        <w:rPr>
          <w:b w:val="0"/>
          <w:i w:val="0"/>
          <w:smallCaps w:val="0"/>
          <w:strike w:val="0"/>
          <w:sz w:val="22"/>
          <w:u w:val="single"/>
        </w:rPr>
        <w:t xml:space="preserve"> </w:t>
      </w:r>
      <w:r>
        <w:rPr>
          <w:b w:val="0"/>
          <w:i w:val="0"/>
          <w:smallCaps w:val="0"/>
          <w:strike w:val="0"/>
          <w:sz w:val="22"/>
          <w:highlight w:val="cyan"/>
          <w:u w:val="single"/>
        </w:rPr>
        <w:t xml:space="preserve">of increased </w:t>
      </w:r>
      <w:r>
        <w:rPr>
          <w:b w:val="0"/>
          <w:i w:val="0"/>
          <w:smallCaps w:val="0"/>
          <w:strike w:val="0"/>
          <w:sz w:val="22"/>
          <w:u w:val="single"/>
        </w:rPr>
        <w:t xml:space="preserve">trademark </w:t>
      </w:r>
      <w:r>
        <w:rPr>
          <w:b w:val="0"/>
          <w:i w:val="0"/>
          <w:smallCaps w:val="0"/>
          <w:strike w:val="0"/>
          <w:sz w:val="22"/>
          <w:highlight w:val="cyan"/>
          <w:u w:val="single"/>
        </w:rPr>
        <w:t>litigation</w:t>
      </w:r>
      <w:r>
        <w:rPr>
          <w:b w:val="0"/>
          <w:i w:val="0"/>
          <w:smallCaps w:val="0"/>
          <w:strike w:val="0"/>
          <w:sz w:val="22"/>
          <w:u w:val="single"/>
        </w:rPr>
        <w: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