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inclusion of copyright means an Indigenous system is seen as a “leftover” IP protection – can’t solve the net benefit.</w:t>
      </w:r>
    </w:p>
    <w:p>
      <w:pPr>
        <w:spacing w:after="80"/>
      </w:pPr>
      <w:r>
        <w:rPr>
          <w:b w:val="0"/>
          <w:i w:val="0"/>
          <w:smallCaps w:val="0"/>
          <w:strike w:val="0"/>
          <w:u w:val="none"/>
        </w:rPr>
        <w:t>James [</w:t>
      </w:r>
      <w:r>
        <w:rPr>
          <w:b w:val="0"/>
          <w:i w:val="0"/>
          <w:smallCaps w:val="0"/>
          <w:strike w:val="0"/>
          <w:u w:val="none"/>
        </w:rPr>
        <w:t>Sa’ke’j</w:t>
      </w:r>
      <w:r>
        <w:rPr>
          <w:b w:val="0"/>
          <w:i w:val="0"/>
          <w:smallCaps w:val="0"/>
          <w:strike w:val="0"/>
          <w:u w:val="none"/>
        </w:rPr>
        <w:t xml:space="preserve">] Youngblood </w:t>
      </w:r>
      <w:r>
        <w:rPr>
          <w:b/>
          <w:i w:val="0"/>
          <w:smallCaps w:val="0"/>
          <w:strike w:val="0"/>
          <w:sz w:val="26"/>
          <w:u w:val="none"/>
        </w:rPr>
        <w:t>Henderson 21</w:t>
      </w:r>
      <w:r>
        <w:rPr>
          <w:b w:val="0"/>
          <w:i w:val="0"/>
          <w:smallCaps w:val="0"/>
          <w:strike w:val="0"/>
          <w:u w:val="none"/>
        </w:rPr>
        <w:t xml:space="preserve">, </w:t>
      </w:r>
      <w:r>
        <w:rPr>
          <w:b w:val="0"/>
          <w:i w:val="0"/>
          <w:smallCaps w:val="0"/>
          <w:strike w:val="0"/>
          <w:u w:val="none"/>
        </w:rPr>
        <w:t>Research Fellow, Indigenous Law Centre, College of Law, University of Saskatchewan. Tribal citizen of Chickasaw Nation</w:t>
      </w:r>
      <w:r>
        <w:rPr>
          <w:b w:val="0"/>
          <w:i w:val="0"/>
          <w:smallCaps w:val="0"/>
          <w:strike w:val="0"/>
          <w:u w:val="none"/>
        </w:rPr>
        <w:t>, 12</w:t>
      </w:r>
      <w:r>
        <w:rPr>
          <w:b w:val="0"/>
          <w:i w:val="0"/>
          <w:smallCaps w:val="0"/>
          <w:strike w:val="0"/>
          <w:u w:val="none"/>
        </w:rPr>
        <w:t>-</w:t>
      </w:r>
      <w:r>
        <w:rPr>
          <w:b w:val="0"/>
          <w:i w:val="0"/>
          <w:smallCaps w:val="0"/>
          <w:strike w:val="0"/>
          <w:u w:val="none"/>
        </w:rPr>
        <w:t>18</w:t>
      </w:r>
      <w:r>
        <w:rPr>
          <w:b w:val="0"/>
          <w:i w:val="0"/>
          <w:smallCaps w:val="0"/>
          <w:strike w:val="0"/>
          <w:u w:val="none"/>
        </w:rPr>
        <w:t>-20</w:t>
      </w:r>
      <w:r>
        <w:rPr>
          <w:b w:val="0"/>
          <w:i w:val="0"/>
          <w:smallCaps w:val="0"/>
          <w:strike w:val="0"/>
          <w:u w:val="none"/>
        </w:rPr>
        <w:t>21</w:t>
      </w:r>
      <w:r>
        <w:rPr>
          <w:b w:val="0"/>
          <w:i w:val="0"/>
          <w:smallCaps w:val="0"/>
          <w:strike w:val="0"/>
          <w:u w:val="none"/>
        </w:rPr>
        <w:t>, "</w:t>
      </w:r>
      <w:r>
        <w:rPr>
          <w:b w:val="0"/>
          <w:i w:val="0"/>
          <w:smallCaps w:val="0"/>
          <w:strike w:val="0"/>
          <w:u w:val="none"/>
        </w:rPr>
        <w:t>The Indigenous Domain and Intellectual Property Rights</w:t>
      </w:r>
      <w:r>
        <w:rPr>
          <w:b w:val="0"/>
          <w:i w:val="0"/>
          <w:smallCaps w:val="0"/>
          <w:strike w:val="0"/>
          <w:u w:val="none"/>
        </w:rPr>
        <w:t xml:space="preserve">", </w:t>
      </w:r>
      <w:r>
        <w:rPr>
          <w:b w:val="0"/>
          <w:i w:val="0"/>
          <w:smallCaps w:val="0"/>
          <w:strike w:val="0"/>
          <w:u w:val="none"/>
        </w:rPr>
        <w:t>Lakehead Law Journal</w:t>
      </w:r>
      <w:r>
        <w:rPr>
          <w:b w:val="0"/>
          <w:i w:val="0"/>
          <w:smallCaps w:val="0"/>
          <w:strike w:val="0"/>
          <w:u w:val="none"/>
        </w:rPr>
        <w:t xml:space="preserve">, </w:t>
      </w:r>
      <w:r>
        <w:rPr>
          <w:b w:val="0"/>
          <w:i w:val="0"/>
          <w:smallCaps w:val="0"/>
          <w:strike w:val="0"/>
          <w:u w:val="none"/>
        </w:rPr>
        <w:t>https://www.canlii.org/en/commentary/doc/2021CanLIIDocs13032#!fragment/zoupio-_Tocpdf_bk_1/BQCwhgziBcwMYgK4DsDWszIQewE4BUBTADwBdoAvbRABwEtsBaAfX2zhoBMAzZgI1TMAjAEoANMmylCEAIqJCuAJ7QA5KrERCYXAnmKV6zdt0gAynlIAhFQCUAogBl7ANQCCAOQDC9saTB80KTsIiJAA</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u w:val="none"/>
        </w:rPr>
        <w:t xml:space="preserve">Behind the statutory intellectual property laws, these distinct but interrelated residual domains illuminate the multifaceted character and modes of the immanent metaphor. Canadian </w:t>
      </w:r>
      <w:r>
        <w:rPr>
          <w:b w:val="0"/>
          <w:i w:val="0"/>
          <w:smallCaps w:val="0"/>
          <w:strike w:val="0"/>
          <w:sz w:val="22"/>
          <w:highlight w:val="cyan"/>
          <w:u w:val="single"/>
        </w:rPr>
        <w:t>jurisprudence does not have a positive account of</w:t>
      </w:r>
      <w:r>
        <w:rPr>
          <w:b w:val="0"/>
          <w:i w:val="0"/>
          <w:smallCaps w:val="0"/>
          <w:strike w:val="0"/>
          <w:u w:val="none"/>
        </w:rPr>
        <w:t xml:space="preserve"> either the </w:t>
      </w:r>
      <w:r>
        <w:rPr>
          <w:b w:val="0"/>
          <w:i w:val="0"/>
          <w:smallCaps w:val="0"/>
          <w:strike w:val="0"/>
          <w:sz w:val="22"/>
          <w:highlight w:val="cyan"/>
          <w:u w:val="single"/>
        </w:rPr>
        <w:t>Indigenous</w:t>
      </w:r>
      <w:r>
        <w:rPr>
          <w:b w:val="0"/>
          <w:i w:val="0"/>
          <w:smallCaps w:val="0"/>
          <w:strike w:val="0"/>
          <w:u w:val="none"/>
        </w:rPr>
        <w:t xml:space="preserve"> or public </w:t>
      </w:r>
      <w:r>
        <w:rPr>
          <w:b w:val="0"/>
          <w:i w:val="0"/>
          <w:smallCaps w:val="0"/>
          <w:strike w:val="0"/>
          <w:sz w:val="22"/>
          <w:highlight w:val="cyan"/>
          <w:u w:val="single"/>
        </w:rPr>
        <w:t>domains</w:t>
      </w:r>
      <w:r>
        <w:rPr>
          <w:b w:val="0"/>
          <w:i w:val="0"/>
          <w:smallCaps w:val="0"/>
          <w:strike w:val="0"/>
          <w:u w:val="none"/>
        </w:rPr>
        <w:t xml:space="preserve">. Under the influence of parliamentary supremacy, law professor Teresa </w:t>
      </w:r>
      <w:r>
        <w:rPr>
          <w:b w:val="0"/>
          <w:i w:val="0"/>
          <w:smallCaps w:val="0"/>
          <w:strike w:val="0"/>
          <w:u w:val="none"/>
        </w:rPr>
        <w:t>Scassa</w:t>
      </w:r>
      <w:r>
        <w:rPr>
          <w:b w:val="0"/>
          <w:i w:val="0"/>
          <w:smallCaps w:val="0"/>
          <w:strike w:val="0"/>
          <w:u w:val="none"/>
        </w:rPr>
        <w:t xml:space="preserve"> articulated that Canada’s public domains </w:t>
      </w:r>
      <w:r>
        <w:rPr>
          <w:b w:val="0"/>
          <w:i w:val="0"/>
          <w:smallCaps w:val="0"/>
          <w:strike w:val="0"/>
          <w:sz w:val="22"/>
          <w:u w:val="single"/>
        </w:rPr>
        <w:t xml:space="preserve">are </w:t>
      </w:r>
      <w:r>
        <w:rPr>
          <w:b w:val="0"/>
          <w:i w:val="0"/>
          <w:smallCaps w:val="0"/>
          <w:strike w:val="0"/>
          <w:sz w:val="22"/>
          <w:highlight w:val="cyan"/>
          <w:u w:val="single"/>
        </w:rPr>
        <w:t>conceived of as</w:t>
      </w:r>
      <w:r>
        <w:rPr>
          <w:b w:val="0"/>
          <w:i w:val="0"/>
          <w:smallCaps w:val="0"/>
          <w:strike w:val="0"/>
          <w:sz w:val="22"/>
          <w:u w:val="single"/>
        </w:rPr>
        <w:t xml:space="preserve"> the “</w:t>
      </w:r>
      <w:r>
        <w:rPr>
          <w:b w:val="0"/>
          <w:i w:val="0"/>
          <w:smallCaps w:val="0"/>
          <w:strike w:val="0"/>
          <w:sz w:val="22"/>
          <w:highlight w:val="cyan"/>
          <w:u w:val="single"/>
        </w:rPr>
        <w:t>leftovers” of</w:t>
      </w:r>
      <w:r>
        <w:rPr>
          <w:b w:val="0"/>
          <w:i w:val="0"/>
          <w:smallCaps w:val="0"/>
          <w:strike w:val="0"/>
          <w:sz w:val="22"/>
          <w:u w:val="single"/>
        </w:rPr>
        <w:t xml:space="preserve"> statutory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ights</w:t>
      </w:r>
      <w:r>
        <w:rPr>
          <w:b w:val="0"/>
          <w:i w:val="0"/>
          <w:smallCaps w:val="0"/>
          <w:strike w:val="0"/>
          <w:u w:val="none"/>
        </w:rPr>
        <w:t xml:space="preserve">—the melancholic and fragile crumbs that remain once its statutory appetite is satisfied. </w:t>
      </w:r>
      <w:r>
        <w:rPr>
          <w:b w:val="0"/>
          <w:i w:val="0"/>
          <w:smallCaps w:val="0"/>
          <w:strike w:val="0"/>
          <w:sz w:val="22"/>
          <w:highlight w:val="cyan"/>
          <w:u w:val="single"/>
        </w:rPr>
        <w:t>Its scope is elastic</w:t>
      </w:r>
      <w:r>
        <w:rPr>
          <w:b w:val="0"/>
          <w:i w:val="0"/>
          <w:smallCaps w:val="0"/>
          <w:strike w:val="0"/>
          <w:sz w:val="22"/>
          <w:u w:val="single"/>
        </w:rPr>
        <w:t xml:space="preserve"> and indeterminate; it can be expanded or shrunk by either legislative enactment or judicial interpretation</w:t>
      </w:r>
      <w:r>
        <w:rPr>
          <w:b w:val="0"/>
          <w:i w:val="0"/>
          <w:smallCaps w:val="0"/>
          <w:strike w:val="0"/>
          <w:u w:val="none"/>
        </w:rPr>
        <w:t xml:space="preserve">. 31 </w:t>
      </w:r>
    </w:p>
    <w:p>
      <w:pPr>
        <w:spacing w:after="60"/>
      </w:pPr>
      <w:r>
        <w:rPr>
          <w:b w:val="0"/>
          <w:i w:val="0"/>
          <w:smallCaps w:val="0"/>
          <w:strike w:val="0"/>
          <w:u w:val="none"/>
        </w:rPr>
        <w:t xml:space="preserve">Canadian jurisprudence on intellectual property rights has focused on statutory laws. Judicial references to the public domain have been rare and insipid. The courts have recently affirmed the view of the public domain as a pre-existing source of Canadian </w:t>
      </w:r>
      <w:r>
        <w:rPr>
          <w:b w:val="0"/>
          <w:i w:val="0"/>
          <w:smallCaps w:val="0"/>
          <w:strike w:val="0"/>
          <w:sz w:val="22"/>
          <w:highlight w:val="cyan"/>
          <w:u w:val="single"/>
        </w:rPr>
        <w:t>intellectual property laws</w:t>
      </w:r>
      <w:r>
        <w:rPr>
          <w:b w:val="0"/>
          <w:i w:val="0"/>
          <w:smallCaps w:val="0"/>
          <w:strike w:val="0"/>
          <w:u w:val="none"/>
        </w:rPr>
        <w:t xml:space="preserve">, which </w:t>
      </w:r>
      <w:r>
        <w:rPr>
          <w:b w:val="0"/>
          <w:i w:val="0"/>
          <w:smallCaps w:val="0"/>
          <w:strike w:val="0"/>
          <w:sz w:val="22"/>
          <w:u w:val="single"/>
        </w:rPr>
        <w:t xml:space="preserve">are </w:t>
      </w:r>
      <w:r>
        <w:rPr>
          <w:b w:val="0"/>
          <w:i w:val="0"/>
          <w:smallCaps w:val="0"/>
          <w:strike w:val="0"/>
          <w:sz w:val="22"/>
          <w:highlight w:val="cyan"/>
          <w:u w:val="single"/>
        </w:rPr>
        <w:t>constructed from</w:t>
      </w:r>
      <w:r>
        <w:rPr>
          <w:b w:val="0"/>
          <w:i w:val="0"/>
          <w:smallCaps w:val="0"/>
          <w:strike w:val="0"/>
          <w:sz w:val="22"/>
          <w:u w:val="single"/>
        </w:rPr>
        <w:t xml:space="preserve"> the </w:t>
      </w:r>
      <w:r>
        <w:rPr>
          <w:b w:val="0"/>
          <w:i w:val="0"/>
          <w:smallCaps w:val="0"/>
          <w:strike w:val="0"/>
          <w:sz w:val="22"/>
          <w:highlight w:val="cyan"/>
          <w:u w:val="single"/>
        </w:rPr>
        <w:t>Eurocentric traditions</w:t>
      </w:r>
      <w:r>
        <w:rPr>
          <w:b w:val="0"/>
          <w:i w:val="0"/>
          <w:smallCaps w:val="0"/>
          <w:strike w:val="0"/>
          <w:sz w:val="22"/>
          <w:u w:val="single"/>
        </w:rPr>
        <w:t xml:space="preserve"> </w:t>
      </w:r>
      <w:r>
        <w:rPr>
          <w:b w:val="0"/>
          <w:i w:val="0"/>
          <w:smallCaps w:val="0"/>
          <w:strike w:val="0"/>
          <w:u w:val="none"/>
        </w:rPr>
        <w:t xml:space="preserve">32  </w:t>
      </w:r>
      <w:r>
        <w:rPr>
          <w:b w:val="0"/>
          <w:i w:val="0"/>
          <w:smallCaps w:val="0"/>
          <w:strike w:val="0"/>
          <w:sz w:val="22"/>
          <w:highlight w:val="cyan"/>
          <w:u w:val="single"/>
        </w:rPr>
        <w:t>and</w:t>
      </w:r>
      <w:r>
        <w:rPr>
          <w:b w:val="0"/>
          <w:i w:val="0"/>
          <w:smallCaps w:val="0"/>
          <w:strike w:val="0"/>
          <w:sz w:val="22"/>
          <w:highlight w:val="cyan"/>
          <w:u w:val="single"/>
        </w:rPr>
        <w:t xml:space="preserve"> appropriated Indigenous traditions</w:t>
      </w:r>
      <w:r>
        <w:rPr>
          <w:b w:val="0"/>
          <w:i w:val="0"/>
          <w:smallCaps w:val="0"/>
          <w:strike w:val="0"/>
          <w:u w:val="none"/>
        </w:rPr>
        <w:t>. 33</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