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is a creation of European empires exported along colonial lines to protect western ideas of property</w:t>
      </w:r>
    </w:p>
    <w:p>
      <w:pPr>
        <w:spacing w:after="80"/>
      </w:pPr>
      <w:r>
        <w:rPr>
          <w:b w:val="0"/>
          <w:i w:val="0"/>
          <w:smallCaps w:val="0"/>
          <w:strike w:val="0"/>
          <w:u w:val="none"/>
        </w:rPr>
        <w:t xml:space="preserve">Dr. Peter </w:t>
      </w:r>
      <w:r>
        <w:rPr>
          <w:b/>
          <w:i w:val="0"/>
          <w:smallCaps w:val="0"/>
          <w:strike w:val="0"/>
          <w:sz w:val="26"/>
          <w:u w:val="none"/>
        </w:rPr>
        <w:t>Drahos</w:t>
      </w:r>
      <w:r>
        <w:rPr>
          <w:b/>
          <w:i w:val="0"/>
          <w:smallCaps w:val="0"/>
          <w:strike w:val="0"/>
          <w:sz w:val="26"/>
          <w:u w:val="none"/>
        </w:rPr>
        <w:t xml:space="preserve"> N</w:t>
      </w:r>
      <w:r>
        <w:rPr>
          <w:b/>
          <w:i w:val="0"/>
          <w:smallCaps w:val="0"/>
          <w:strike w:val="0"/>
          <w:sz w:val="26"/>
          <w:u w:val="none"/>
        </w:rPr>
        <w:t>D</w:t>
      </w:r>
      <w:r>
        <w:rPr>
          <w:b w:val="0"/>
          <w:i w:val="0"/>
          <w:smallCaps w:val="0"/>
          <w:strike w:val="0"/>
          <w:u w:val="none"/>
        </w:rPr>
        <w:t xml:space="preserve">, </w:t>
      </w:r>
      <w:r>
        <w:rPr>
          <w:b w:val="0"/>
          <w:i w:val="0"/>
          <w:smallCaps w:val="0"/>
          <w:strike w:val="0"/>
          <w:u w:val="none"/>
        </w:rPr>
        <w:t xml:space="preserve">University of London, </w:t>
      </w:r>
      <w:r>
        <w:rPr>
          <w:b w:val="0"/>
          <w:i w:val="0"/>
          <w:smallCaps w:val="0"/>
          <w:strike w:val="0"/>
          <w:u w:val="none"/>
        </w:rPr>
        <w:t>Herchel</w:t>
      </w:r>
      <w:r>
        <w:rPr>
          <w:b w:val="0"/>
          <w:i w:val="0"/>
          <w:smallCaps w:val="0"/>
          <w:strike w:val="0"/>
          <w:u w:val="none"/>
        </w:rPr>
        <w:t xml:space="preserve"> Smith Senior Fellow, Queen Mary Intellectual Property Research Institute, Queen Mary and Westfield College, xx</w:t>
      </w:r>
      <w:r>
        <w:rPr>
          <w:b w:val="0"/>
          <w:i w:val="0"/>
          <w:smallCaps w:val="0"/>
          <w:strike w:val="0"/>
          <w:u w:val="none"/>
        </w:rPr>
        <w:t>-</w:t>
      </w:r>
      <w:r>
        <w:rPr>
          <w:b w:val="0"/>
          <w:i w:val="0"/>
          <w:smallCaps w:val="0"/>
          <w:strike w:val="0"/>
          <w:u w:val="none"/>
        </w:rPr>
        <w:t>xx</w:t>
      </w:r>
      <w:r>
        <w:rPr>
          <w:b w:val="0"/>
          <w:i w:val="0"/>
          <w:smallCaps w:val="0"/>
          <w:strike w:val="0"/>
          <w:u w:val="none"/>
        </w:rPr>
        <w:t>-</w:t>
      </w:r>
      <w:r>
        <w:rPr>
          <w:b w:val="0"/>
          <w:i w:val="0"/>
          <w:smallCaps w:val="0"/>
          <w:strike w:val="0"/>
          <w:u w:val="none"/>
        </w:rPr>
        <w:t>xxxx</w:t>
      </w:r>
      <w:r>
        <w:rPr>
          <w:b w:val="0"/>
          <w:i w:val="0"/>
          <w:smallCaps w:val="0"/>
          <w:strike w:val="0"/>
          <w:u w:val="none"/>
        </w:rPr>
        <w:t>, "</w:t>
      </w:r>
      <w:r>
        <w:rPr>
          <w:b w:val="0"/>
          <w:i w:val="0"/>
          <w:smallCaps w:val="0"/>
          <w:strike w:val="0"/>
          <w:u w:val="none"/>
        </w:rPr>
        <w:t>THE UNIVERSALITY OF INTELLECTUAL PROPERTY RIGHTS: ORIGINS AND DEVELOPMENT</w:t>
      </w:r>
      <w:r>
        <w:rPr>
          <w:b w:val="0"/>
          <w:i w:val="0"/>
          <w:smallCaps w:val="0"/>
          <w:strike w:val="0"/>
          <w:u w:val="none"/>
        </w:rPr>
        <w:t xml:space="preserve">", </w:t>
      </w:r>
      <w:r>
        <w:rPr>
          <w:b w:val="0"/>
          <w:i w:val="0"/>
          <w:smallCaps w:val="0"/>
          <w:strike w:val="0"/>
          <w:u w:val="none"/>
        </w:rPr>
        <w:t>University of Minnesota Press</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u w:val="none"/>
        </w:rPr>
        <w:t xml:space="preserve">The next section of the paper will, in a brief span, describe the evolution of intellectual property law.  The historical focus is on the emergence of intellectual property as part of the positive legal order of states.  All societies have had to devise norms for regulating the ownership and use of different kinds of information.  Historically, this has been especially true of religious information.  One can thus identify customary equivalents of intellectual property.   But </w:t>
      </w:r>
      <w:r>
        <w:rPr>
          <w:b w:val="0"/>
          <w:i w:val="0"/>
          <w:smallCaps w:val="0"/>
          <w:strike w:val="0"/>
          <w:sz w:val="22"/>
          <w:u w:val="single"/>
        </w:rPr>
        <w:t xml:space="preserve">the </w:t>
      </w:r>
      <w:r>
        <w:rPr>
          <w:b w:val="0"/>
          <w:i w:val="0"/>
          <w:smallCaps w:val="0"/>
          <w:strike w:val="0"/>
          <w:sz w:val="22"/>
          <w:highlight w:val="cyan"/>
          <w:u w:val="single"/>
        </w:rPr>
        <w:t>western intellectual property tradition is rooted in the idea that intellectual property rights are</w:t>
      </w:r>
      <w:r>
        <w:rPr>
          <w:b w:val="0"/>
          <w:i w:val="0"/>
          <w:smallCaps w:val="0"/>
          <w:strike w:val="0"/>
          <w:sz w:val="22"/>
          <w:u w:val="single"/>
        </w:rPr>
        <w:t xml:space="preserve"> positive rights cre</w:t>
      </w:r>
      <w:r>
        <w:rPr>
          <w:b w:val="0"/>
          <w:i w:val="0"/>
          <w:smallCaps w:val="0"/>
          <w:strike w:val="0"/>
          <w:sz w:val="22"/>
          <w:highlight w:val="cyan"/>
          <w:u w:val="single"/>
        </w:rPr>
        <w:t>ated by the state for the benefit of the commonwealth</w:t>
      </w:r>
      <w:r>
        <w:rPr>
          <w:b w:val="0"/>
          <w:i w:val="0"/>
          <w:smallCaps w:val="0"/>
          <w:strike w:val="0"/>
          <w:u w:val="none"/>
        </w:rPr>
        <w:t xml:space="preserve">.  Within Thomist political theory the validity of positive law was itself to be judged by the axioms of natural law.   The norms of positive law had to converge with the divine design which natural law communicated to men.  The rules of positive law then met the test of validity, not by being a mirror reflection of some metaphysical counterpart, but rather by </w:t>
      </w:r>
      <w:r>
        <w:rPr>
          <w:b w:val="0"/>
          <w:i w:val="0"/>
          <w:smallCaps w:val="0"/>
          <w:strike w:val="0"/>
          <w:u w:val="none"/>
        </w:rPr>
        <w:t>whether or not</w:t>
      </w:r>
      <w:r>
        <w:rPr>
          <w:b w:val="0"/>
          <w:i w:val="0"/>
          <w:smallCaps w:val="0"/>
          <w:strike w:val="0"/>
          <w:u w:val="none"/>
        </w:rPr>
        <w:t xml:space="preserve"> they contributed to the overall divine plan.  Conceptually speaking, this allowed someone working within the natural law tradition to recognize the right of a state to modify property rights through the enactment of positive law.</w:t>
      </w:r>
    </w:p>
    <w:p>
      <w:pPr>
        <w:spacing w:after="60"/>
      </w:pPr>
      <w:r>
        <w:rPr>
          <w:b w:val="0"/>
          <w:i w:val="0"/>
          <w:smallCaps w:val="0"/>
          <w:strike w:val="0"/>
          <w:sz w:val="16"/>
          <w:u w:val="none"/>
        </w:rPr>
        <w:t>The protection of intellectual property at an international level can roughly be divided into three periods.  The first period, the territorial period, is essentially characterized by an absence of international protection.  The second, the international period, begins in Europe towards the end of the 19th century with some countries agreeing to the formation of the Paris Convention for the Protection of Industrial Property, 1883 (the Paris Convention) and a similar group agreeing to the Berne Convention for the Protection of Literary and Artistic Works, 1886 (the Berne Convention).  The third period, the global period, has its origins in the linkage that the United States of America (the U.S.A) made between trade and intellectual property in the 1980s, a linkage which emerged at a multilateral level in the form of the Agreement on Trade-Related Aspects of Intellectual Property Rights, 1994 (the TRIPS Agreement).   The dates of the various conventions do not represent a sharp epochal divide.  They do mark a significant change in the evolutionary direction of intellectual property protection.</w:t>
      </w:r>
    </w:p>
    <w:p>
      <w:pPr>
        <w:spacing w:after="60"/>
      </w:pPr>
      <w:r>
        <w:rPr>
          <w:b w:val="0"/>
          <w:i w:val="0"/>
          <w:smallCaps w:val="0"/>
          <w:strike w:val="0"/>
          <w:sz w:val="16"/>
          <w:u w:val="none"/>
        </w:rPr>
        <w:t>2.</w:t>
      </w:r>
      <w:r>
        <w:rPr>
          <w:b w:val="0"/>
          <w:i w:val="0"/>
          <w:smallCaps w:val="0"/>
          <w:strike w:val="0"/>
          <w:sz w:val="16"/>
          <w:u w:val="none"/>
        </w:rPr>
        <w:tab/>
        <w:t>The History of Intellectual Property</w:t>
      </w:r>
    </w:p>
    <w:p>
      <w:pPr>
        <w:spacing w:after="60"/>
      </w:pPr>
      <w:r>
        <w:rPr>
          <w:b w:val="0"/>
          <w:i w:val="0"/>
          <w:smallCaps w:val="0"/>
          <w:strike w:val="0"/>
          <w:sz w:val="16"/>
          <w:u w:val="none"/>
        </w:rPr>
        <w:t>(</w:t>
      </w:r>
      <w:r>
        <w:rPr>
          <w:b w:val="0"/>
          <w:i w:val="0"/>
          <w:smallCaps w:val="0"/>
          <w:strike w:val="0"/>
          <w:sz w:val="16"/>
          <w:u w:val="none"/>
        </w:rPr>
        <w:t>i</w:t>
      </w:r>
      <w:r>
        <w:rPr>
          <w:b w:val="0"/>
          <w:i w:val="0"/>
          <w:smallCaps w:val="0"/>
          <w:strike w:val="0"/>
          <w:sz w:val="16"/>
          <w:u w:val="none"/>
        </w:rPr>
        <w:t>)</w:t>
      </w:r>
      <w:r>
        <w:rPr>
          <w:b w:val="0"/>
          <w:i w:val="0"/>
          <w:smallCaps w:val="0"/>
          <w:strike w:val="0"/>
          <w:sz w:val="16"/>
          <w:u w:val="none"/>
        </w:rPr>
        <w:tab/>
        <w:t>The Territorial Period</w:t>
      </w:r>
    </w:p>
    <w:p>
      <w:pPr>
        <w:spacing w:after="60"/>
      </w:pPr>
      <w:r>
        <w:rPr>
          <w:b w:val="0"/>
          <w:i w:val="0"/>
          <w:smallCaps w:val="0"/>
          <w:strike w:val="0"/>
          <w:sz w:val="22"/>
          <w:u w:val="single"/>
        </w:rPr>
        <w:t xml:space="preserve">The different subject areas of </w:t>
      </w:r>
      <w:r>
        <w:rPr>
          <w:b w:val="0"/>
          <w:i w:val="0"/>
          <w:smallCaps w:val="0"/>
          <w:strike w:val="0"/>
          <w:sz w:val="22"/>
          <w:highlight w:val="cyan"/>
          <w:u w:val="single"/>
        </w:rPr>
        <w:t>intellectual property</w:t>
      </w:r>
      <w:r>
        <w:rPr>
          <w:b w:val="0"/>
          <w:i w:val="0"/>
          <w:smallCaps w:val="0"/>
          <w:strike w:val="0"/>
          <w:u w:val="none"/>
        </w:rPr>
        <w:t xml:space="preserve"> originate in different places and at different times.  Very probably all these laws </w:t>
      </w:r>
      <w:r>
        <w:rPr>
          <w:b w:val="0"/>
          <w:i w:val="0"/>
          <w:smallCaps w:val="0"/>
          <w:strike w:val="0"/>
          <w:sz w:val="22"/>
          <w:highlight w:val="cyan"/>
          <w:u w:val="single"/>
        </w:rPr>
        <w:t>can be traced back to the system of royal privilege-giving</w:t>
      </w:r>
      <w:r>
        <w:rPr>
          <w:b w:val="0"/>
          <w:i w:val="0"/>
          <w:smallCaps w:val="0"/>
          <w:strike w:val="0"/>
          <w:sz w:val="22"/>
          <w:u w:val="single"/>
        </w:rPr>
        <w:t xml:space="preserve"> which seems to have operated </w:t>
      </w:r>
      <w:r>
        <w:rPr>
          <w:b w:val="0"/>
          <w:i w:val="0"/>
          <w:smallCaps w:val="0"/>
          <w:strike w:val="0"/>
          <w:sz w:val="22"/>
          <w:highlight w:val="cyan"/>
          <w:u w:val="single"/>
        </w:rPr>
        <w:t>in</w:t>
      </w:r>
      <w:r>
        <w:rPr>
          <w:b w:val="0"/>
          <w:i w:val="0"/>
          <w:smallCaps w:val="0"/>
          <w:strike w:val="0"/>
          <w:sz w:val="22"/>
          <w:u w:val="single"/>
        </w:rPr>
        <w:t xml:space="preserve"> most of </w:t>
      </w:r>
      <w:r>
        <w:rPr>
          <w:b w:val="0"/>
          <w:i w:val="0"/>
          <w:smallCaps w:val="0"/>
          <w:strike w:val="0"/>
          <w:sz w:val="22"/>
          <w:highlight w:val="cyan"/>
          <w:u w:val="single"/>
        </w:rPr>
        <w:t>medieval Europe</w:t>
      </w:r>
      <w:r>
        <w:rPr>
          <w:b w:val="0"/>
          <w:i w:val="0"/>
          <w:smallCaps w:val="0"/>
          <w:strike w:val="0"/>
          <w:sz w:val="22"/>
          <w:u w:val="single"/>
        </w:rPr>
        <w:t>.</w:t>
      </w:r>
      <w:r>
        <w:rPr>
          <w:b w:val="0"/>
          <w:i w:val="0"/>
          <w:smallCaps w:val="0"/>
          <w:strike w:val="0"/>
          <w:u w:val="none"/>
        </w:rPr>
        <w:t xml:space="preserve">  The Venetians are credited with the first properly developed patent law in 1474.  In England the Statute of Monopolies of 1623 swept away all monopolies except those made by the “true and first inventor” of a “method of manufacture.”  Revolutionary France recognized the rights of inventors in 1791 and, outside of Europe, the U.S.A. enacted a patent law in 1790.  These patent laws were nothing like today’s complex systems.  They were mercifully short, simply recognizing the rights of the inventor.  After these beginnings, patent law spread throughout Europe in the first half of the nineteenth century.   Statutory forms of </w:t>
      </w:r>
      <w:r>
        <w:rPr>
          <w:b w:val="0"/>
          <w:i w:val="0"/>
          <w:smallCaps w:val="0"/>
          <w:strike w:val="0"/>
          <w:u w:val="none"/>
        </w:rPr>
        <w:t>trade mark</w:t>
      </w:r>
      <w:r>
        <w:rPr>
          <w:b w:val="0"/>
          <w:i w:val="0"/>
          <w:smallCaps w:val="0"/>
          <w:strike w:val="0"/>
          <w:u w:val="none"/>
        </w:rPr>
        <w:t xml:space="preserve"> law only make their appearance late in the second half of the nineteenth century, even though </w:t>
      </w:r>
      <w:r>
        <w:rPr>
          <w:b w:val="0"/>
          <w:i w:val="0"/>
          <w:smallCaps w:val="0"/>
          <w:strike w:val="0"/>
          <w:u w:val="none"/>
        </w:rPr>
        <w:t>trade marks</w:t>
      </w:r>
      <w:r>
        <w:rPr>
          <w:b w:val="0"/>
          <w:i w:val="0"/>
          <w:smallCaps w:val="0"/>
          <w:strike w:val="0"/>
          <w:u w:val="none"/>
        </w:rPr>
        <w:t xml:space="preserve"> had been in use for much longer.   The English courts developed protection for </w:t>
      </w:r>
      <w:r>
        <w:rPr>
          <w:b w:val="0"/>
          <w:i w:val="0"/>
          <w:smallCaps w:val="0"/>
          <w:strike w:val="0"/>
          <w:u w:val="none"/>
        </w:rPr>
        <w:t>trade marks</w:t>
      </w:r>
      <w:r>
        <w:rPr>
          <w:b w:val="0"/>
          <w:i w:val="0"/>
          <w:smallCaps w:val="0"/>
          <w:strike w:val="0"/>
          <w:u w:val="none"/>
        </w:rPr>
        <w:t xml:space="preserve"> through the action of passing off.   For a variety of reasons, this proved unsatisfactory and statutory systems of </w:t>
      </w:r>
      <w:r>
        <w:rPr>
          <w:b w:val="0"/>
          <w:i w:val="0"/>
          <w:smallCaps w:val="0"/>
          <w:strike w:val="0"/>
          <w:u w:val="none"/>
        </w:rPr>
        <w:t>trade mark</w:t>
      </w:r>
      <w:r>
        <w:rPr>
          <w:b w:val="0"/>
          <w:i w:val="0"/>
          <w:smallCaps w:val="0"/>
          <w:strike w:val="0"/>
          <w:u w:val="none"/>
        </w:rPr>
        <w:t xml:space="preserve"> registration began to make their appearance in Europe: England 1862 and 1875, France 1857, Germany 1874 and the U.S.A. </w:t>
      </w:r>
      <w:r>
        <w:rPr>
          <w:b w:val="0"/>
          <w:i w:val="0"/>
          <w:smallCaps w:val="0"/>
          <w:strike w:val="0"/>
          <w:u w:val="none"/>
        </w:rPr>
        <w:t>1870 and 1876.   Copyright follows a similar kind of pattern, modern copyright law beginning in England with the Statute of Anne of 1709.</w:t>
      </w:r>
    </w:p>
    <w:p>
      <w:pPr>
        <w:spacing w:after="60"/>
      </w:pPr>
      <w:r>
        <w:rPr>
          <w:b w:val="0"/>
          <w:i w:val="0"/>
          <w:smallCaps w:val="0"/>
          <w:strike w:val="0"/>
          <w:sz w:val="22"/>
          <w:u w:val="single"/>
        </w:rPr>
        <w:t xml:space="preserve">The second part of </w:t>
      </w:r>
      <w:r>
        <w:rPr>
          <w:b w:val="0"/>
          <w:i w:val="0"/>
          <w:smallCaps w:val="0"/>
          <w:strike w:val="0"/>
          <w:sz w:val="22"/>
          <w:highlight w:val="cyan"/>
          <w:u w:val="single"/>
        </w:rPr>
        <w:t>the nineteenth century</w:t>
      </w:r>
      <w:r>
        <w:rPr>
          <w:b w:val="0"/>
          <w:i w:val="0"/>
          <w:smallCaps w:val="0"/>
          <w:strike w:val="0"/>
          <w:sz w:val="22"/>
          <w:u w:val="single"/>
        </w:rPr>
        <w:t xml:space="preserve"> </w:t>
      </w:r>
      <w:r>
        <w:rPr>
          <w:b w:val="0"/>
          <w:i w:val="0"/>
          <w:smallCaps w:val="0"/>
          <w:strike w:val="0"/>
          <w:sz w:val="22"/>
          <w:highlight w:val="cyan"/>
          <w:u w:val="single"/>
        </w:rPr>
        <w:t>saw the proliferation</w:t>
      </w:r>
      <w:r>
        <w:rPr>
          <w:b w:val="0"/>
          <w:i w:val="0"/>
          <w:smallCaps w:val="0"/>
          <w:strike w:val="0"/>
          <w:sz w:val="22"/>
          <w:u w:val="single"/>
        </w:rPr>
        <w:t xml:space="preserve"> in Europe </w:t>
      </w:r>
      <w:r>
        <w:rPr>
          <w:b w:val="0"/>
          <w:i w:val="0"/>
          <w:smallCaps w:val="0"/>
          <w:strike w:val="0"/>
          <w:sz w:val="22"/>
          <w:highlight w:val="cyan"/>
          <w:u w:val="single"/>
        </w:rPr>
        <w:t>of national intellectual property regimes</w:t>
      </w:r>
      <w:r>
        <w:rPr>
          <w:b w:val="0"/>
          <w:i w:val="0"/>
          <w:smallCaps w:val="0"/>
          <w:strike w:val="0"/>
          <w:u w:val="none"/>
        </w:rPr>
        <w:t xml:space="preserve">.  It was a period of somewhat chaotic growth with much borrowing and cross-pollination of intellectual property law between states.  The principles of patent law to be found in the English Statute of Monopolies were gradually recognized in other states.  The English devised the first law on designs in 1787, but they were influenced by the French design law of 1806 when they reformulated their law in 1839.  </w:t>
      </w:r>
      <w:r>
        <w:rPr>
          <w:b w:val="0"/>
          <w:i w:val="0"/>
          <w:smallCaps w:val="0"/>
          <w:strike w:val="0"/>
          <w:sz w:val="22"/>
          <w:u w:val="single"/>
        </w:rPr>
        <w:t xml:space="preserve">Outside of Europe, </w:t>
      </w:r>
      <w:r>
        <w:rPr>
          <w:b w:val="0"/>
          <w:i w:val="0"/>
          <w:smallCaps w:val="0"/>
          <w:strike w:val="0"/>
          <w:sz w:val="22"/>
          <w:highlight w:val="cyan"/>
          <w:u w:val="single"/>
        </w:rPr>
        <w:t>intellectual property grew along colonial pathways</w:t>
      </w:r>
      <w:r>
        <w:rPr>
          <w:b w:val="0"/>
          <w:i w:val="0"/>
          <w:smallCaps w:val="0"/>
          <w:strike w:val="0"/>
          <w:sz w:val="22"/>
          <w:u w:val="single"/>
        </w:rPr>
        <w:t>.  So, for example, the self-governing colonies of Australia enacted copyright and patent statutes that were essentially faithful copies of English models</w:t>
      </w:r>
      <w:r>
        <w:rPr>
          <w:b w:val="0"/>
          <w:i w:val="0"/>
          <w:smallCaps w:val="0"/>
          <w:strike w:val="0"/>
          <w:u w:val="none"/>
        </w:rPr>
        <w:t>.</w:t>
      </w:r>
    </w:p>
    <w:p>
      <w:pPr>
        <w:spacing w:after="60"/>
      </w:pPr>
      <w:r>
        <w:rPr>
          <w:b w:val="0"/>
          <w:i w:val="0"/>
          <w:smallCaps w:val="0"/>
          <w:strike w:val="0"/>
          <w:sz w:val="22"/>
          <w:u w:val="single"/>
        </w:rPr>
        <w:t xml:space="preserve">The territorial period is dominated by the principle of territoriality, the principle that intellectual property rights do not extend beyond the territory of the sovereign which has granted the rights in the first place.  The principle is the product of the </w:t>
      </w:r>
      <w:r>
        <w:rPr>
          <w:b w:val="0"/>
          <w:i w:val="0"/>
          <w:smallCaps w:val="0"/>
          <w:strike w:val="0"/>
          <w:sz w:val="22"/>
          <w:highlight w:val="cyan"/>
          <w:u w:val="single"/>
        </w:rPr>
        <w:t>intimate connections</w:t>
      </w:r>
      <w:r>
        <w:rPr>
          <w:b w:val="0"/>
          <w:i w:val="0"/>
          <w:smallCaps w:val="0"/>
          <w:strike w:val="0"/>
          <w:sz w:val="22"/>
          <w:u w:val="single"/>
        </w:rPr>
        <w:t xml:space="preserve"> to be found </w:t>
      </w:r>
      <w:r>
        <w:rPr>
          <w:b w:val="0"/>
          <w:i w:val="0"/>
          <w:smallCaps w:val="0"/>
          <w:strike w:val="0"/>
          <w:sz w:val="22"/>
          <w:highlight w:val="cyan"/>
          <w:u w:val="single"/>
        </w:rPr>
        <w:t>between sovereignty, property rights and territory</w:t>
      </w:r>
      <w:r>
        <w:rPr>
          <w:b w:val="0"/>
          <w:i w:val="0"/>
          <w:smallCaps w:val="0"/>
          <w:strike w:val="0"/>
          <w:sz w:val="22"/>
          <w:u w:val="single"/>
        </w:rPr>
        <w:t>.</w:t>
      </w:r>
      <w:r>
        <w:rPr>
          <w:b w:val="0"/>
          <w:i w:val="0"/>
          <w:smallCaps w:val="0"/>
          <w:strike w:val="0"/>
          <w:u w:val="none"/>
        </w:rPr>
        <w:t xml:space="preserve">  It was a principle which courts recognized in the interests of international comity.    A world in which states regularly claimed jurisdiction over the property rights established by other nations would be a world in which the principle of negative comity would have largely vanished.  The principle of territoriality meant that an intellectual property law passed by country A did not apply in country B.  Intellectual property owners faced a classic free-riding problem, or putting it in another way, some countries were the beneficiaries of positive externalities.  Dealing with free-riding and positive externalities led states into the next phase of intellectual property protection: the international period.</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