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w:t>
      </w:r>
      <w:r>
        <w:rPr>
          <w:b/>
          <w:i w:val="0"/>
          <w:smallCaps w:val="0"/>
          <w:strike w:val="0"/>
          <w:sz w:val="26"/>
          <w:u w:val="none"/>
        </w:rPr>
        <w:t>aff</w:t>
      </w:r>
      <w:r>
        <w:rPr>
          <w:b/>
          <w:i w:val="0"/>
          <w:smallCaps w:val="0"/>
          <w:strike w:val="0"/>
          <w:sz w:val="26"/>
          <w:u w:val="none"/>
        </w:rPr>
        <w:t xml:space="preserve"> corrupts the alt! The state doesn’t gain its legitimacy by excluding Indigenous people </w:t>
      </w:r>
      <w:r>
        <w:rPr>
          <w:b/>
          <w:i w:val="0"/>
          <w:smallCaps w:val="0"/>
          <w:strike w:val="0"/>
          <w:sz w:val="26"/>
          <w:u w:val="single"/>
        </w:rPr>
        <w:t>but by including them</w:t>
      </w:r>
      <w:r>
        <w:rPr>
          <w:b/>
          <w:i w:val="0"/>
          <w:smallCaps w:val="0"/>
          <w:strike w:val="0"/>
          <w:sz w:val="26"/>
          <w:u w:val="none"/>
        </w:rPr>
        <w:t xml:space="preserve"> via </w:t>
      </w:r>
      <w:r>
        <w:rPr>
          <w:b/>
          <w:i w:val="0"/>
          <w:smallCaps w:val="0"/>
          <w:strike w:val="0"/>
          <w:sz w:val="26"/>
          <w:u w:val="single"/>
        </w:rPr>
        <w:t>recognition politics</w:t>
      </w:r>
      <w:r>
        <w:rPr>
          <w:b/>
          <w:i w:val="0"/>
          <w:smallCaps w:val="0"/>
          <w:strike w:val="0"/>
          <w:sz w:val="26"/>
          <w:u w:val="none"/>
        </w:rPr>
        <w:t xml:space="preserve"> – only refusing the </w:t>
      </w:r>
      <w:r>
        <w:rPr>
          <w:b/>
          <w:i w:val="0"/>
          <w:smallCaps w:val="0"/>
          <w:strike w:val="0"/>
          <w:sz w:val="26"/>
          <w:u w:val="none"/>
        </w:rPr>
        <w:t>aff’s</w:t>
      </w:r>
      <w:r>
        <w:rPr>
          <w:b/>
          <w:i w:val="0"/>
          <w:smallCaps w:val="0"/>
          <w:strike w:val="0"/>
          <w:sz w:val="26"/>
          <w:u w:val="none"/>
        </w:rPr>
        <w:t xml:space="preserve"> </w:t>
      </w:r>
      <w:r>
        <w:rPr>
          <w:b/>
          <w:i w:val="0"/>
          <w:smallCaps w:val="0"/>
          <w:strike w:val="0"/>
          <w:sz w:val="26"/>
          <w:u w:val="single"/>
        </w:rPr>
        <w:t>rights-based orientation</w:t>
      </w:r>
      <w:r>
        <w:rPr>
          <w:b/>
          <w:i w:val="0"/>
          <w:smallCaps w:val="0"/>
          <w:strike w:val="0"/>
          <w:sz w:val="26"/>
          <w:u w:val="none"/>
        </w:rPr>
        <w:t xml:space="preserve"> allows decolonization.</w:t>
      </w:r>
    </w:p>
    <w:p>
      <w:pPr>
        <w:spacing w:after="80"/>
      </w:pPr>
      <w:r>
        <w:rPr>
          <w:b w:val="0"/>
          <w:i w:val="0"/>
          <w:smallCaps w:val="0"/>
          <w:strike w:val="0"/>
          <w:u w:val="none"/>
        </w:rPr>
        <w:t xml:space="preserve">Glen Sean </w:t>
      </w:r>
      <w:r>
        <w:rPr>
          <w:b/>
          <w:i w:val="0"/>
          <w:smallCaps w:val="0"/>
          <w:strike w:val="0"/>
          <w:sz w:val="26"/>
          <w:u w:val="none"/>
        </w:rPr>
        <w:t>Coulthard 14</w:t>
      </w:r>
      <w:r>
        <w:rPr>
          <w:b w:val="0"/>
          <w:i w:val="0"/>
          <w:smallCaps w:val="0"/>
          <w:strike w:val="0"/>
          <w:u w:val="none"/>
        </w:rPr>
        <w:t xml:space="preserve">, </w:t>
      </w:r>
      <w:r>
        <w:rPr>
          <w:b w:val="0"/>
          <w:i w:val="0"/>
          <w:smallCaps w:val="0"/>
          <w:strike w:val="0"/>
          <w:u w:val="none"/>
        </w:rPr>
        <w:t>a Canadian scholar of Indigenous studies who serves as an associate professor in the political science department at the University of British Columbi</w:t>
      </w:r>
      <w:r>
        <w:rPr>
          <w:b w:val="0"/>
          <w:i w:val="0"/>
          <w:smallCaps w:val="0"/>
          <w:strike w:val="0"/>
          <w:u w:val="none"/>
        </w:rPr>
        <w:t>a, xx</w:t>
      </w:r>
      <w:r>
        <w:rPr>
          <w:b w:val="0"/>
          <w:i w:val="0"/>
          <w:smallCaps w:val="0"/>
          <w:strike w:val="0"/>
          <w:u w:val="none"/>
        </w:rPr>
        <w:t>-</w:t>
      </w:r>
      <w:r>
        <w:rPr>
          <w:b w:val="0"/>
          <w:i w:val="0"/>
          <w:smallCaps w:val="0"/>
          <w:strike w:val="0"/>
          <w:u w:val="none"/>
        </w:rPr>
        <w:t>xx</w:t>
      </w:r>
      <w:r>
        <w:rPr>
          <w:b w:val="0"/>
          <w:i w:val="0"/>
          <w:smallCaps w:val="0"/>
          <w:strike w:val="0"/>
          <w:u w:val="none"/>
        </w:rPr>
        <w:t>-20</w:t>
      </w:r>
      <w:r>
        <w:rPr>
          <w:b w:val="0"/>
          <w:i w:val="0"/>
          <w:smallCaps w:val="0"/>
          <w:strike w:val="0"/>
          <w:u w:val="none"/>
        </w:rPr>
        <w:t>14</w:t>
      </w:r>
      <w:r>
        <w:rPr>
          <w:b w:val="0"/>
          <w:i w:val="0"/>
          <w:smallCaps w:val="0"/>
          <w:strike w:val="0"/>
          <w:u w:val="none"/>
        </w:rPr>
        <w:t>, "</w:t>
      </w:r>
      <w:r>
        <w:rPr>
          <w:b w:val="0"/>
          <w:i w:val="0"/>
          <w:smallCaps w:val="0"/>
          <w:strike w:val="0"/>
          <w:u w:val="none"/>
        </w:rPr>
        <w:t>Red Skin, White Masks: Rejecting the Colonial Politics of Recognition</w:t>
      </w:r>
      <w:r>
        <w:rPr>
          <w:b w:val="0"/>
          <w:i w:val="0"/>
          <w:smallCaps w:val="0"/>
          <w:strike w:val="0"/>
          <w:u w:val="none"/>
        </w:rPr>
        <w:t xml:space="preserve">", </w:t>
      </w:r>
      <w:r>
        <w:rPr>
          <w:b w:val="0"/>
          <w:i w:val="0"/>
          <w:smallCaps w:val="0"/>
          <w:strike w:val="0"/>
          <w:u w:val="none"/>
        </w:rPr>
        <w:t>University of Minnesota Press</w:t>
      </w:r>
      <w:r>
        <w:rPr>
          <w:b w:val="0"/>
          <w:i w:val="0"/>
          <w:smallCaps w:val="0"/>
          <w:strike w:val="0"/>
          <w:u w:val="none"/>
        </w:rPr>
        <w:t xml:space="preserve">, </w:t>
      </w:r>
      <w:r>
        <w:rPr>
          <w:b w:val="0"/>
          <w:i w:val="0"/>
          <w:smallCaps w:val="0"/>
          <w:strike w:val="0"/>
          <w:u w:val="none"/>
        </w:rPr>
        <w:t>https://doi-org.proxy.lib.umich.edu/10.4324/9781003116097</w:t>
      </w:r>
      <w:r>
        <w:rPr>
          <w:b w:val="0"/>
          <w:i w:val="0"/>
          <w:smallCaps w:val="0"/>
          <w:strike w:val="0"/>
          <w:u w:val="none"/>
        </w:rPr>
        <w:t xml:space="preserve"> //MRK</w:t>
      </w:r>
    </w:p>
    <w:p>
      <w:pPr>
        <w:spacing w:after="60"/>
      </w:pPr>
      <w:r>
        <w:rPr>
          <w:b w:val="0"/>
          <w:i w:val="0"/>
          <w:smallCaps w:val="0"/>
          <w:strike w:val="0"/>
          <w:u w:val="none"/>
        </w:rPr>
        <w:t xml:space="preserve">We are now </w:t>
      </w:r>
      <w:r>
        <w:rPr>
          <w:b w:val="0"/>
          <w:i w:val="0"/>
          <w:smallCaps w:val="0"/>
          <w:strike w:val="0"/>
          <w:u w:val="none"/>
        </w:rPr>
        <w:t>in a position</w:t>
      </w:r>
      <w:r>
        <w:rPr>
          <w:b w:val="0"/>
          <w:i w:val="0"/>
          <w:smallCaps w:val="0"/>
          <w:strike w:val="0"/>
          <w:u w:val="none"/>
        </w:rPr>
        <w:t xml:space="preserve"> to revisit the concern I raised at the end of chapter 1 regarding a </w:t>
      </w:r>
      <w:r>
        <w:rPr>
          <w:b w:val="0"/>
          <w:i w:val="0"/>
          <w:smallCaps w:val="0"/>
          <w:strike w:val="0"/>
          <w:sz w:val="22"/>
          <w:highlight w:val="cyan"/>
          <w:u w:val="single"/>
        </w:rPr>
        <w:t>problematic claim</w:t>
      </w:r>
      <w:r>
        <w:rPr>
          <w:b w:val="0"/>
          <w:i w:val="0"/>
          <w:smallCaps w:val="0"/>
          <w:strike w:val="0"/>
          <w:sz w:val="22"/>
          <w:u w:val="single"/>
        </w:rPr>
        <w:t xml:space="preserve"> </w:t>
      </w:r>
      <w:r>
        <w:rPr>
          <w:b w:val="0"/>
          <w:i w:val="0"/>
          <w:smallCaps w:val="0"/>
          <w:strike w:val="0"/>
          <w:u w:val="none"/>
        </w:rPr>
        <w:t xml:space="preserve">made by Dale Turner in This Is Not a Peace Pipe. Turner’s claim is </w:t>
      </w:r>
      <w:r>
        <w:rPr>
          <w:b w:val="0"/>
          <w:i w:val="0"/>
          <w:smallCaps w:val="0"/>
          <w:strike w:val="0"/>
          <w:sz w:val="22"/>
          <w:highlight w:val="cyan"/>
          <w:u w:val="single"/>
        </w:rPr>
        <w:t xml:space="preserve">that </w:t>
      </w:r>
      <w:r>
        <w:rPr>
          <w:b w:val="0"/>
          <w:i w:val="0"/>
          <w:smallCaps w:val="0"/>
          <w:strike w:val="0"/>
          <w:sz w:val="22"/>
          <w:u w:val="single"/>
        </w:rPr>
        <w:t xml:space="preserve">if </w:t>
      </w:r>
      <w:r>
        <w:rPr>
          <w:b w:val="0"/>
          <w:i w:val="0"/>
          <w:smallCaps w:val="0"/>
          <w:strike w:val="0"/>
          <w:sz w:val="22"/>
          <w:highlight w:val="cyan"/>
          <w:u w:val="single"/>
        </w:rPr>
        <w:t xml:space="preserve">Indigenous peoples </w:t>
      </w:r>
      <w:r>
        <w:rPr>
          <w:b w:val="0"/>
          <w:i w:val="0"/>
          <w:smallCaps w:val="0"/>
          <w:strike w:val="0"/>
          <w:sz w:val="22"/>
          <w:u w:val="single"/>
        </w:rPr>
        <w:t>want the political and legal relationship</w:t>
      </w:r>
      <w:r>
        <w:rPr>
          <w:b w:val="0"/>
          <w:i w:val="0"/>
          <w:smallCaps w:val="0"/>
          <w:strike w:val="0"/>
          <w:u w:val="none"/>
        </w:rPr>
        <w:t xml:space="preserve"> between ourselves and the Canadian state </w:t>
      </w:r>
      <w:r>
        <w:rPr>
          <w:b w:val="0"/>
          <w:i w:val="0"/>
          <w:smallCaps w:val="0"/>
          <w:strike w:val="0"/>
          <w:sz w:val="22"/>
          <w:u w:val="single"/>
        </w:rPr>
        <w:t>to be informed by and reflect our distinct worldviews, then we “</w:t>
      </w:r>
      <w:r>
        <w:rPr>
          <w:b w:val="0"/>
          <w:i w:val="0"/>
          <w:smallCaps w:val="0"/>
          <w:strike w:val="0"/>
          <w:sz w:val="22"/>
          <w:highlight w:val="cyan"/>
          <w:u w:val="single"/>
        </w:rPr>
        <w:t>will have to engage the state’s legal and political discourses</w:t>
      </w:r>
      <w:r>
        <w:rPr>
          <w:b w:val="0"/>
          <w:i w:val="0"/>
          <w:smallCaps w:val="0"/>
          <w:strike w:val="0"/>
          <w:u w:val="none"/>
        </w:rPr>
        <w:t xml:space="preserve"> in more effective ways.”79 </w:t>
      </w:r>
      <w:r>
        <w:rPr>
          <w:b w:val="0"/>
          <w:i w:val="0"/>
          <w:smallCaps w:val="0"/>
          <w:strike w:val="0"/>
          <w:sz w:val="22"/>
          <w:highlight w:val="cyan"/>
          <w:u w:val="single"/>
        </w:rPr>
        <w:t>This</w:t>
      </w:r>
      <w:r>
        <w:rPr>
          <w:b w:val="0"/>
          <w:i w:val="0"/>
          <w:smallCaps w:val="0"/>
          <w:strike w:val="0"/>
          <w:sz w:val="22"/>
          <w:u w:val="single"/>
        </w:rPr>
        <w:t xml:space="preserve"> form of </w:t>
      </w:r>
      <w:r>
        <w:rPr>
          <w:b w:val="0"/>
          <w:i w:val="0"/>
          <w:smallCaps w:val="0"/>
          <w:strike w:val="0"/>
          <w:sz w:val="22"/>
          <w:highlight w:val="cyan"/>
          <w:u w:val="single"/>
        </w:rPr>
        <w:t>engagement</w:t>
      </w:r>
      <w:r>
        <w:rPr>
          <w:b w:val="0"/>
          <w:i w:val="0"/>
          <w:smallCaps w:val="0"/>
          <w:strike w:val="0"/>
          <w:u w:val="none"/>
        </w:rPr>
        <w:t xml:space="preserve">, I claimed, </w:t>
      </w:r>
      <w:r>
        <w:rPr>
          <w:b/>
          <w:i w:val="0"/>
          <w:smallCaps w:val="0"/>
          <w:strike w:val="0"/>
          <w:sz w:val="22"/>
          <w:highlight w:val="cyan"/>
          <w:u w:val="single"/>
        </w:rPr>
        <w:t>assumes that the structure of domination</w:t>
      </w:r>
      <w:r>
        <w:rPr>
          <w:b w:val="0"/>
          <w:i w:val="0"/>
          <w:smallCaps w:val="0"/>
          <w:strike w:val="0"/>
          <w:u w:val="none"/>
        </w:rPr>
        <w:t xml:space="preserve"> that frames Indigenous– state relations in Canada </w:t>
      </w:r>
      <w:r>
        <w:rPr>
          <w:b/>
          <w:i w:val="0"/>
          <w:smallCaps w:val="0"/>
          <w:strike w:val="0"/>
          <w:sz w:val="22"/>
          <w:highlight w:val="cyan"/>
          <w:u w:val="single"/>
        </w:rPr>
        <w:t>derives its legitimacy</w:t>
      </w:r>
      <w:r>
        <w:rPr>
          <w:b w:val="0"/>
          <w:i w:val="0"/>
          <w:smallCaps w:val="0"/>
          <w:strike w:val="0"/>
          <w:sz w:val="22"/>
          <w:u w:val="single"/>
        </w:rPr>
        <w:t xml:space="preserve"> and </w:t>
      </w:r>
      <w:r>
        <w:rPr>
          <w:b w:val="0"/>
          <w:i w:val="0"/>
          <w:smallCaps w:val="0"/>
          <w:strike w:val="0"/>
          <w:sz w:val="22"/>
          <w:u w:val="single"/>
        </w:rPr>
        <w:t xml:space="preserve">sustenance </w:t>
      </w:r>
      <w:r>
        <w:rPr>
          <w:b/>
          <w:i w:val="0"/>
          <w:smallCaps w:val="0"/>
          <w:strike w:val="0"/>
          <w:sz w:val="22"/>
          <w:highlight w:val="cyan"/>
          <w:u w:val="single"/>
        </w:rPr>
        <w:t>by excluding Indigenous people</w:t>
      </w:r>
      <w:r>
        <w:rPr>
          <w:b w:val="0"/>
          <w:i w:val="0"/>
          <w:smallCaps w:val="0"/>
          <w:strike w:val="0"/>
          <w:sz w:val="22"/>
          <w:u w:val="single"/>
        </w:rPr>
        <w:t xml:space="preserve"> and voices </w:t>
      </w:r>
      <w:r>
        <w:rPr>
          <w:b w:val="0"/>
          <w:i w:val="0"/>
          <w:smallCaps w:val="0"/>
          <w:strike w:val="0"/>
          <w:sz w:val="22"/>
          <w:highlight w:val="cyan"/>
          <w:u w:val="single"/>
        </w:rPr>
        <w:t>from</w:t>
      </w:r>
      <w:r>
        <w:rPr>
          <w:b w:val="0"/>
          <w:i w:val="0"/>
          <w:smallCaps w:val="0"/>
          <w:strike w:val="0"/>
          <w:sz w:val="22"/>
          <w:u w:val="single"/>
        </w:rPr>
        <w:t xml:space="preserve"> the legal and </w:t>
      </w:r>
      <w:r>
        <w:rPr>
          <w:b w:val="0"/>
          <w:i w:val="0"/>
          <w:smallCaps w:val="0"/>
          <w:strike w:val="0"/>
          <w:sz w:val="22"/>
          <w:highlight w:val="cyan"/>
          <w:u w:val="single"/>
        </w:rPr>
        <w:t>political</w:t>
      </w:r>
      <w:r>
        <w:rPr>
          <w:b w:val="0"/>
          <w:i w:val="0"/>
          <w:smallCaps w:val="0"/>
          <w:strike w:val="0"/>
          <w:sz w:val="22"/>
          <w:u w:val="single"/>
        </w:rPr>
        <w:t xml:space="preserve"> institutional</w:t>
      </w:r>
      <w:r>
        <w:rPr>
          <w:b w:val="0"/>
          <w:i w:val="0"/>
          <w:smallCaps w:val="0"/>
          <w:strike w:val="0"/>
          <w:u w:val="none"/>
        </w:rPr>
        <w:t xml:space="preserve">/dis- cursive </w:t>
      </w:r>
      <w:r>
        <w:rPr>
          <w:b w:val="0"/>
          <w:i w:val="0"/>
          <w:smallCaps w:val="0"/>
          <w:strike w:val="0"/>
          <w:sz w:val="22"/>
          <w:highlight w:val="cyan"/>
          <w:u w:val="single"/>
        </w:rPr>
        <w:t>settings</w:t>
      </w:r>
      <w:r>
        <w:rPr>
          <w:b w:val="0"/>
          <w:i w:val="0"/>
          <w:smallCaps w:val="0"/>
          <w:strike w:val="0"/>
          <w:u w:val="none"/>
        </w:rPr>
        <w:t xml:space="preserve"> within which our rights are determined. Seen from this light, it would indeed appear that “critically undermining colonialism” requires that Indigenous peoples find more effective ways of “participating in the Canadian legal and political practices that determine the meaning of Aboriginal rights.”80</w:t>
      </w:r>
    </w:p>
    <w:p>
      <w:pPr>
        <w:spacing w:after="60"/>
      </w:pPr>
      <w:r>
        <w:rPr>
          <w:b w:val="0"/>
          <w:i w:val="0"/>
          <w:smallCaps w:val="0"/>
          <w:strike w:val="0"/>
          <w:sz w:val="22"/>
          <w:highlight w:val="cyan"/>
          <w:u w:val="single"/>
        </w:rPr>
        <w:t>Yet</w:t>
      </w:r>
      <w:r>
        <w:rPr>
          <w:b w:val="0"/>
          <w:i w:val="0"/>
          <w:smallCaps w:val="0"/>
          <w:strike w:val="0"/>
          <w:u w:val="none"/>
        </w:rPr>
        <w:t xml:space="preserve">, I would venture to suggest that over the last forty years </w:t>
      </w:r>
      <w:r>
        <w:rPr>
          <w:b w:val="0"/>
          <w:i w:val="0"/>
          <w:smallCaps w:val="0"/>
          <w:strike w:val="0"/>
          <w:sz w:val="22"/>
          <w:highlight w:val="cyan"/>
          <w:u w:val="single"/>
        </w:rPr>
        <w:t>Indigenous peoples have become incredibly skilled at participating in</w:t>
      </w:r>
      <w:r>
        <w:rPr>
          <w:b w:val="0"/>
          <w:i w:val="0"/>
          <w:smallCaps w:val="0"/>
          <w:strike w:val="0"/>
          <w:u w:val="none"/>
        </w:rPr>
        <w:t xml:space="preserve"> the Canadian legal and </w:t>
      </w:r>
      <w:r>
        <w:rPr>
          <w:b w:val="0"/>
          <w:i w:val="0"/>
          <w:smallCaps w:val="0"/>
          <w:strike w:val="0"/>
          <w:sz w:val="22"/>
          <w:highlight w:val="cyan"/>
          <w:u w:val="single"/>
        </w:rPr>
        <w:t>political practices</w:t>
      </w:r>
      <w:r>
        <w:rPr>
          <w:b w:val="0"/>
          <w:i w:val="0"/>
          <w:smallCaps w:val="0"/>
          <w:strike w:val="0"/>
          <w:u w:val="none"/>
        </w:rPr>
        <w:t xml:space="preserve"> that Turner suggests. In the wake of the 1969 White Paper, these practices emerged as the hegemonic approach to forging change in our political relationship with the Canadian state. </w:t>
      </w:r>
      <w:r>
        <w:rPr>
          <w:b w:val="0"/>
          <w:i w:val="0"/>
          <w:smallCaps w:val="0"/>
          <w:strike w:val="0"/>
          <w:sz w:val="22"/>
          <w:u w:val="single"/>
        </w:rPr>
        <w:t xml:space="preserve">We have also seen, </w:t>
      </w:r>
      <w:r>
        <w:rPr>
          <w:b w:val="0"/>
          <w:i w:val="0"/>
          <w:smallCaps w:val="0"/>
          <w:strike w:val="0"/>
          <w:sz w:val="22"/>
          <w:highlight w:val="cyan"/>
          <w:u w:val="single"/>
        </w:rPr>
        <w:t>however</w:t>
      </w:r>
      <w:r>
        <w:rPr>
          <w:b w:val="0"/>
          <w:i w:val="0"/>
          <w:smallCaps w:val="0"/>
          <w:strike w:val="0"/>
          <w:sz w:val="22"/>
          <w:u w:val="single"/>
        </w:rPr>
        <w:t xml:space="preserve">, that our </w:t>
      </w:r>
      <w:r>
        <w:rPr>
          <w:b/>
          <w:i w:val="0"/>
          <w:smallCaps w:val="0"/>
          <w:strike w:val="0"/>
          <w:sz w:val="22"/>
          <w:highlight w:val="cyan"/>
          <w:u w:val="single"/>
        </w:rPr>
        <w:t>efforts to engage</w:t>
      </w:r>
      <w:r>
        <w:rPr>
          <w:b w:val="0"/>
          <w:i w:val="0"/>
          <w:smallCaps w:val="0"/>
          <w:strike w:val="0"/>
          <w:sz w:val="22"/>
          <w:u w:val="single"/>
        </w:rPr>
        <w:t xml:space="preserve"> these discursive and institutional spaces </w:t>
      </w:r>
      <w:r>
        <w:rPr>
          <w:b/>
          <w:i w:val="0"/>
          <w:smallCaps w:val="0"/>
          <w:strike w:val="0"/>
          <w:sz w:val="22"/>
          <w:highlight w:val="cyan"/>
          <w:u w:val="single"/>
        </w:rPr>
        <w:t>to secure recognition of</w:t>
      </w:r>
      <w:r>
        <w:rPr>
          <w:b/>
          <w:i w:val="0"/>
          <w:smallCaps w:val="0"/>
          <w:strike w:val="0"/>
          <w:sz w:val="22"/>
          <w:u w:val="single"/>
        </w:rPr>
        <w:t xml:space="preserve"> our </w:t>
      </w:r>
      <w:r>
        <w:rPr>
          <w:b/>
          <w:i w:val="0"/>
          <w:smallCaps w:val="0"/>
          <w:strike w:val="0"/>
          <w:sz w:val="22"/>
          <w:highlight w:val="cyan"/>
          <w:u w:val="single"/>
        </w:rPr>
        <w:t>rights</w:t>
      </w:r>
      <w:r>
        <w:rPr>
          <w:b/>
          <w:i w:val="0"/>
          <w:smallCaps w:val="0"/>
          <w:strike w:val="0"/>
          <w:sz w:val="22"/>
          <w:u w:val="single"/>
        </w:rPr>
        <w:t xml:space="preserve"> </w:t>
      </w:r>
      <w:r>
        <w:rPr>
          <w:b/>
          <w:i w:val="0"/>
          <w:smallCaps w:val="0"/>
          <w:strike w:val="0"/>
          <w:sz w:val="22"/>
          <w:highlight w:val="cyan"/>
          <w:u w:val="single"/>
        </w:rPr>
        <w:t xml:space="preserve">have not only </w:t>
      </w:r>
      <w:r>
        <w:rPr>
          <w:b/>
          <w:i w:val="0"/>
          <w:smallCaps w:val="0"/>
          <w:strike w:val="0"/>
          <w:sz w:val="22"/>
          <w:highlight w:val="cyan"/>
          <w:u w:val="single"/>
        </w:rPr>
        <w:t>failed, but</w:t>
      </w:r>
      <w:r>
        <w:rPr>
          <w:b/>
          <w:i w:val="0"/>
          <w:smallCaps w:val="0"/>
          <w:strike w:val="0"/>
          <w:sz w:val="22"/>
          <w:u w:val="single"/>
        </w:rPr>
        <w:t xml:space="preserve"> have instead </w:t>
      </w:r>
      <w:r>
        <w:rPr>
          <w:b/>
          <w:i w:val="0"/>
          <w:smallCaps w:val="0"/>
          <w:strike w:val="0"/>
          <w:sz w:val="22"/>
          <w:highlight w:val="cyan"/>
          <w:u w:val="single"/>
        </w:rPr>
        <w:t>served to</w:t>
      </w:r>
      <w:r>
        <w:rPr>
          <w:b/>
          <w:i w:val="0"/>
          <w:smallCaps w:val="0"/>
          <w:strike w:val="0"/>
          <w:sz w:val="22"/>
          <w:u w:val="single"/>
        </w:rPr>
        <w:t xml:space="preserve"> subtly </w:t>
      </w:r>
      <w:r>
        <w:rPr>
          <w:b/>
          <w:i w:val="0"/>
          <w:smallCaps w:val="0"/>
          <w:strike w:val="0"/>
          <w:sz w:val="22"/>
          <w:highlight w:val="cyan"/>
          <w:u w:val="single"/>
        </w:rPr>
        <w:t>reproduce</w:t>
      </w:r>
      <w:r>
        <w:rPr>
          <w:b/>
          <w:i w:val="0"/>
          <w:smallCaps w:val="0"/>
          <w:strike w:val="0"/>
          <w:sz w:val="22"/>
          <w:u w:val="single"/>
        </w:rPr>
        <w:t xml:space="preserve"> the forms of </w:t>
      </w:r>
      <w:r>
        <w:rPr>
          <w:b/>
          <w:i w:val="0"/>
          <w:smallCaps w:val="0"/>
          <w:strike w:val="0"/>
          <w:sz w:val="22"/>
          <w:highlight w:val="cyan"/>
          <w:u w:val="single"/>
        </w:rPr>
        <w:t>racist</w:t>
      </w:r>
      <w:r>
        <w:rPr>
          <w:b/>
          <w:i w:val="0"/>
          <w:smallCaps w:val="0"/>
          <w:strike w:val="0"/>
          <w:sz w:val="22"/>
          <w:u w:val="single"/>
        </w:rPr>
        <w:t xml:space="preserve">, sexist, </w:t>
      </w:r>
      <w:r>
        <w:rPr>
          <w:b/>
          <w:i w:val="0"/>
          <w:smallCaps w:val="0"/>
          <w:strike w:val="0"/>
          <w:sz w:val="22"/>
          <w:highlight w:val="cyan"/>
          <w:u w:val="single"/>
        </w:rPr>
        <w:t>economic, and political configurations</w:t>
      </w:r>
      <w:r>
        <w:rPr>
          <w:b w:val="0"/>
          <w:i w:val="0"/>
          <w:smallCaps w:val="0"/>
          <w:strike w:val="0"/>
          <w:sz w:val="22"/>
          <w:u w:val="single"/>
        </w:rPr>
        <w:t xml:space="preserve"> of power </w:t>
      </w:r>
      <w:r>
        <w:rPr>
          <w:b w:val="0"/>
          <w:i w:val="0"/>
          <w:smallCaps w:val="0"/>
          <w:strike w:val="0"/>
          <w:sz w:val="22"/>
          <w:highlight w:val="cyan"/>
          <w:u w:val="single"/>
        </w:rPr>
        <w:t>that we initially sought</w:t>
      </w:r>
      <w:r>
        <w:rPr>
          <w:b w:val="0"/>
          <w:i w:val="0"/>
          <w:smallCaps w:val="0"/>
          <w:strike w:val="0"/>
          <w:sz w:val="22"/>
          <w:u w:val="single"/>
        </w:rPr>
        <w:t xml:space="preserve">, through our engagements and negotiations with the state, </w:t>
      </w:r>
      <w:r>
        <w:rPr>
          <w:b w:val="0"/>
          <w:i w:val="0"/>
          <w:smallCaps w:val="0"/>
          <w:strike w:val="0"/>
          <w:sz w:val="22"/>
          <w:highlight w:val="cyan"/>
          <w:u w:val="single"/>
        </w:rPr>
        <w:t>to challenge</w:t>
      </w:r>
      <w:r>
        <w:rPr>
          <w:b w:val="0"/>
          <w:i w:val="0"/>
          <w:smallCaps w:val="0"/>
          <w:strike w:val="0"/>
          <w:sz w:val="22"/>
          <w:u w:val="single"/>
        </w:rPr>
        <w:t>.</w:t>
      </w:r>
      <w:r>
        <w:rPr>
          <w:b w:val="0"/>
          <w:i w:val="0"/>
          <w:smallCaps w:val="0"/>
          <w:strike w:val="0"/>
          <w:u w:val="none"/>
        </w:rPr>
        <w:t xml:space="preserve"> Why has this been the case? Part of the reason has to do with the sheer magnitude of discursive and nondiscursive power we find ourselves up against in our struggles. Subsequently, </w:t>
      </w:r>
      <w:r>
        <w:rPr>
          <w:b w:val="0"/>
          <w:i w:val="0"/>
          <w:smallCaps w:val="0"/>
          <w:strike w:val="0"/>
          <w:sz w:val="22"/>
          <w:highlight w:val="cyan"/>
          <w:u w:val="single"/>
        </w:rPr>
        <w:t xml:space="preserve">in </w:t>
      </w:r>
      <w:r>
        <w:rPr>
          <w:b w:val="0"/>
          <w:i w:val="0"/>
          <w:smallCaps w:val="0"/>
          <w:strike w:val="0"/>
          <w:sz w:val="22"/>
          <w:u w:val="single"/>
        </w:rPr>
        <w:t xml:space="preserve">our </w:t>
      </w:r>
      <w:r>
        <w:rPr>
          <w:b w:val="0"/>
          <w:i w:val="0"/>
          <w:smallCaps w:val="0"/>
          <w:strike w:val="0"/>
          <w:sz w:val="22"/>
          <w:highlight w:val="cyan"/>
          <w:u w:val="single"/>
        </w:rPr>
        <w:t>efforts to interpolate the legal and political discourses of the state to secure recognition</w:t>
      </w:r>
      <w:r>
        <w:rPr>
          <w:b w:val="0"/>
          <w:i w:val="0"/>
          <w:smallCaps w:val="0"/>
          <w:strike w:val="0"/>
          <w:sz w:val="22"/>
          <w:u w:val="single"/>
        </w:rPr>
        <w:t xml:space="preserve"> of our rights to land and self-determination we have too often </w:t>
      </w:r>
      <w:r>
        <w:rPr>
          <w:b w:val="0"/>
          <w:i w:val="0"/>
          <w:smallCaps w:val="0"/>
          <w:strike w:val="0"/>
          <w:sz w:val="22"/>
          <w:highlight w:val="cyan"/>
          <w:u w:val="single"/>
        </w:rPr>
        <w:t>found</w:t>
      </w:r>
      <w:r>
        <w:rPr>
          <w:b w:val="0"/>
          <w:i w:val="0"/>
          <w:smallCaps w:val="0"/>
          <w:strike w:val="0"/>
          <w:sz w:val="22"/>
          <w:u w:val="single"/>
        </w:rPr>
        <w:t xml:space="preserve"> ourselves </w:t>
      </w:r>
      <w:r>
        <w:rPr>
          <w:b w:val="0"/>
          <w:i w:val="0"/>
          <w:smallCaps w:val="0"/>
          <w:strike w:val="0"/>
          <w:sz w:val="22"/>
          <w:highlight w:val="cyan"/>
          <w:u w:val="single"/>
        </w:rPr>
        <w:t>interpellated as subjects of settler-colonial rule</w:t>
      </w:r>
      <w:r>
        <w:rPr>
          <w:b w:val="0"/>
          <w:i w:val="0"/>
          <w:smallCaps w:val="0"/>
          <w:strike w:val="0"/>
          <w:highlight w:val="cyan"/>
          <w:u w:val="none"/>
        </w:rPr>
        <w:t>.</w:t>
      </w:r>
    </w:p>
    <w:p>
      <w:pPr>
        <w:spacing w:after="60"/>
      </w:pPr>
      <w:r>
        <w:rPr>
          <w:b w:val="0"/>
          <w:i w:val="0"/>
          <w:smallCaps w:val="0"/>
          <w:strike w:val="0"/>
          <w:u w:val="none"/>
        </w:rPr>
        <w:t xml:space="preserve">What are the implications of this </w:t>
      </w:r>
      <w:r>
        <w:rPr>
          <w:b w:val="0"/>
          <w:i w:val="0"/>
          <w:smallCaps w:val="0"/>
          <w:strike w:val="0"/>
          <w:u w:val="none"/>
        </w:rPr>
        <w:t xml:space="preserve">profound power disparity in our struggles for land and freedom? Does it require that we vacate the field of state negotiations and participation entirely? Of course not. Settler-colonialism has rendered us a radical minority in our own homelands, and this necessitates that we continue to engage with the state’s legal and political system. What our present condition does demand, however, is that we begin to approach our engagements with the settler-state legal apparatus with a degree of critical self- reflection, skepticism, and caution that has to date been largely absent in our efforts. </w:t>
      </w:r>
      <w:r>
        <w:rPr>
          <w:b w:val="0"/>
          <w:i w:val="0"/>
          <w:smallCaps w:val="0"/>
          <w:strike w:val="0"/>
          <w:sz w:val="22"/>
          <w:u w:val="single"/>
        </w:rPr>
        <w:t xml:space="preserve">It also </w:t>
      </w:r>
      <w:r>
        <w:rPr>
          <w:b/>
          <w:i w:val="0"/>
          <w:smallCaps w:val="0"/>
          <w:strike w:val="0"/>
          <w:sz w:val="22"/>
          <w:highlight w:val="cyan"/>
          <w:u w:val="single"/>
        </w:rPr>
        <w:t>demands that we</w:t>
      </w:r>
      <w:r>
        <w:rPr>
          <w:b/>
          <w:i w:val="0"/>
          <w:smallCaps w:val="0"/>
          <w:strike w:val="0"/>
          <w:sz w:val="22"/>
          <w:u w:val="single"/>
        </w:rPr>
        <w:t xml:space="preserve"> begin to </w:t>
      </w:r>
      <w:r>
        <w:rPr>
          <w:b/>
          <w:i w:val="0"/>
          <w:smallCaps w:val="0"/>
          <w:strike w:val="0"/>
          <w:sz w:val="22"/>
          <w:highlight w:val="cyan"/>
          <w:u w:val="single"/>
        </w:rPr>
        <w:t>shift our attention away from</w:t>
      </w:r>
      <w:r>
        <w:rPr>
          <w:b/>
          <w:i w:val="0"/>
          <w:smallCaps w:val="0"/>
          <w:strike w:val="0"/>
          <w:sz w:val="22"/>
          <w:u w:val="single"/>
        </w:rPr>
        <w:t xml:space="preserve"> the largely </w:t>
      </w:r>
      <w:r>
        <w:rPr>
          <w:b/>
          <w:i w:val="0"/>
          <w:smallCaps w:val="0"/>
          <w:strike w:val="0"/>
          <w:sz w:val="22"/>
          <w:highlight w:val="cyan"/>
          <w:u w:val="single"/>
        </w:rPr>
        <w:t>rights-based/recognition orientation</w:t>
      </w:r>
      <w:r>
        <w:rPr>
          <w:b w:val="0"/>
          <w:i w:val="0"/>
          <w:smallCaps w:val="0"/>
          <w:strike w:val="0"/>
          <w:u w:val="none"/>
        </w:rPr>
        <w:t xml:space="preserve"> that has emerged as hegemonic over the last four decades, to a resurgent politics of recognition that seeks </w:t>
      </w:r>
      <w:r>
        <w:rPr>
          <w:b w:val="0"/>
          <w:i w:val="0"/>
          <w:smallCaps w:val="0"/>
          <w:strike w:val="0"/>
          <w:sz w:val="22"/>
          <w:highlight w:val="cyan"/>
          <w:u w:val="single"/>
        </w:rPr>
        <w:t>to practice decolonial</w:t>
      </w:r>
      <w:r>
        <w:rPr>
          <w:b w:val="0"/>
          <w:i w:val="0"/>
          <w:smallCaps w:val="0"/>
          <w:strike w:val="0"/>
          <w:u w:val="none"/>
        </w:rPr>
        <w:t xml:space="preserve">, gender-emancipatory, and economically nonexploitative </w:t>
      </w:r>
      <w:r>
        <w:rPr>
          <w:b w:val="0"/>
          <w:i w:val="0"/>
          <w:smallCaps w:val="0"/>
          <w:strike w:val="0"/>
          <w:sz w:val="22"/>
          <w:highlight w:val="cyan"/>
          <w:u w:val="single"/>
        </w:rPr>
        <w:t>alternative structures of</w:t>
      </w:r>
      <w:r>
        <w:rPr>
          <w:b w:val="0"/>
          <w:i w:val="0"/>
          <w:smallCaps w:val="0"/>
          <w:strike w:val="0"/>
          <w:sz w:val="22"/>
          <w:u w:val="single"/>
        </w:rPr>
        <w:t xml:space="preserve"> law and </w:t>
      </w:r>
      <w:r>
        <w:rPr>
          <w:b w:val="0"/>
          <w:i w:val="0"/>
          <w:smallCaps w:val="0"/>
          <w:strike w:val="0"/>
          <w:sz w:val="22"/>
          <w:highlight w:val="cyan"/>
          <w:u w:val="single"/>
        </w:rPr>
        <w:t>sovereign authority</w:t>
      </w:r>
      <w:r>
        <w:rPr>
          <w:b w:val="0"/>
          <w:i w:val="0"/>
          <w:smallCaps w:val="0"/>
          <w:strike w:val="0"/>
          <w:u w:val="none"/>
        </w:rPr>
        <w:t xml:space="preserve"> </w:t>
      </w:r>
      <w:r>
        <w:rPr>
          <w:b w:val="0"/>
          <w:i w:val="0"/>
          <w:smallCaps w:val="0"/>
          <w:strike w:val="0"/>
          <w:sz w:val="22"/>
          <w:u w:val="single"/>
        </w:rPr>
        <w:t>grounded on a critical refashioning of the best of Indigenous legal and political traditions</w:t>
      </w:r>
      <w:r>
        <w:rPr>
          <w:b w:val="0"/>
          <w:i w:val="0"/>
          <w:smallCaps w:val="0"/>
          <w:strike w:val="0"/>
          <w:u w:val="none"/>
        </w:rPr>
        <w:t xml:space="preserve">. It is only by privileging and </w:t>
      </w:r>
      <w:r>
        <w:rPr>
          <w:b w:val="0"/>
          <w:i w:val="0"/>
          <w:smallCaps w:val="0"/>
          <w:strike w:val="0"/>
          <w:u w:val="none"/>
        </w:rPr>
        <w:t>grounding ourselves in these normative lifeways and resurgent practices that we have a hope of surviving our strategic engagements with the colonial state with integrity and as Indigenous peoples.</w:t>
      </w:r>
    </w:p>
    <w:p>
      <w:pPr>
        <w:pStyle w:val="Caption"/>
      </w:pPr>
      <w:r>
        <w:t>Source: Indigenous Copyright Neg v2 -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