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w:t>
      </w:r>
      <w:r>
        <w:rPr>
          <w:b/>
          <w:i w:val="0"/>
          <w:smallCaps w:val="0"/>
          <w:strike w:val="0"/>
          <w:sz w:val="26"/>
          <w:u w:val="none"/>
        </w:rPr>
        <w:t xml:space="preserve"> can’t solve – property rights will always be undermined under a settler-colonial state</w:t>
      </w:r>
    </w:p>
    <w:p>
      <w:pPr>
        <w:spacing w:after="80"/>
      </w:pPr>
      <w:r>
        <w:rPr>
          <w:b w:val="0"/>
          <w:i w:val="0"/>
          <w:smallCaps w:val="0"/>
          <w:strike w:val="0"/>
          <w:u w:val="none"/>
        </w:rPr>
        <w:t xml:space="preserve">Danielle M. </w:t>
      </w:r>
      <w:r>
        <w:rPr>
          <w:b/>
          <w:i w:val="0"/>
          <w:smallCaps w:val="0"/>
          <w:strike w:val="0"/>
          <w:sz w:val="26"/>
          <w:u w:val="none"/>
        </w:rPr>
        <w:t>Conway 09</w:t>
      </w:r>
      <w:r>
        <w:rPr>
          <w:b w:val="0"/>
          <w:i w:val="0"/>
          <w:smallCaps w:val="0"/>
          <w:strike w:val="0"/>
          <w:u w:val="none"/>
        </w:rPr>
        <w:t xml:space="preserve">, </w:t>
      </w:r>
      <w:r>
        <w:rPr>
          <w:b w:val="0"/>
          <w:i w:val="0"/>
          <w:smallCaps w:val="0"/>
          <w:strike w:val="0"/>
          <w:u w:val="none"/>
        </w:rPr>
        <w:t xml:space="preserve">Professor of Law &amp; Director, University of Hawai'i Procurement Institute, University of Hawai'i at </w:t>
      </w:r>
      <w:r>
        <w:rPr>
          <w:b w:val="0"/>
          <w:i w:val="0"/>
          <w:smallCaps w:val="0"/>
          <w:strike w:val="0"/>
          <w:u w:val="none"/>
        </w:rPr>
        <w:t>Macnoa</w:t>
      </w:r>
      <w:r>
        <w:rPr>
          <w:b w:val="0"/>
          <w:i w:val="0"/>
          <w:smallCaps w:val="0"/>
          <w:strike w:val="0"/>
          <w:u w:val="none"/>
        </w:rPr>
        <w:t>, William S. Richardson School of Law</w:t>
      </w:r>
      <w:r>
        <w:rPr>
          <w:b w:val="0"/>
          <w:i w:val="0"/>
          <w:smallCaps w:val="0"/>
          <w:strike w:val="0"/>
          <w:u w:val="none"/>
        </w:rPr>
        <w:t>, xx-xx-200</w:t>
      </w:r>
      <w:r>
        <w:rPr>
          <w:b w:val="0"/>
          <w:i w:val="0"/>
          <w:smallCaps w:val="0"/>
          <w:strike w:val="0"/>
          <w:u w:val="none"/>
        </w:rPr>
        <w:t>9</w:t>
      </w:r>
      <w:r>
        <w:rPr>
          <w:b w:val="0"/>
          <w:i w:val="0"/>
          <w:smallCaps w:val="0"/>
          <w:strike w:val="0"/>
          <w:u w:val="none"/>
        </w:rPr>
        <w:t>, "</w:t>
      </w:r>
      <w:r>
        <w:rPr>
          <w:b w:val="0"/>
          <w:i w:val="0"/>
          <w:smallCaps w:val="0"/>
          <w:strike w:val="0"/>
          <w:u w:val="none"/>
        </w:rPr>
        <w:t>Indigenizing Intellectual Property Law: Customary Law, Legal Pluralism, and The Protection of Indigenous Peoples' Rights, Identity, and Resources</w:t>
      </w:r>
      <w:r>
        <w:rPr>
          <w:b w:val="0"/>
          <w:i w:val="0"/>
          <w:smallCaps w:val="0"/>
          <w:strike w:val="0"/>
          <w:u w:val="none"/>
        </w:rPr>
        <w:t xml:space="preserve">", </w:t>
      </w:r>
      <w:r>
        <w:rPr>
          <w:b w:val="0"/>
          <w:i w:val="0"/>
          <w:smallCaps w:val="0"/>
          <w:strike w:val="0"/>
          <w:u w:val="none"/>
        </w:rPr>
        <w:t>Texas Wesleyan Law Review</w:t>
      </w:r>
      <w:r>
        <w:rPr>
          <w:b w:val="0"/>
          <w:i w:val="0"/>
          <w:smallCaps w:val="0"/>
          <w:strike w:val="0"/>
          <w:u w:val="none"/>
        </w:rPr>
        <w:t xml:space="preserve">, </w:t>
      </w:r>
      <w:r>
        <w:rPr>
          <w:b w:val="0"/>
          <w:i w:val="0"/>
          <w:smallCaps w:val="0"/>
          <w:strike w:val="0"/>
          <w:u w:val="none"/>
        </w:rPr>
        <w:t>https://heinonline-org.proxy.lib.umich.edu/HOL/Page?lname=&amp;public=false&amp;collection=journals&amp;handle=hein.journals/twlr15&amp;men_hide=false&amp;men_tab=toc&amp;kind=&amp;page=207</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sz w:val="22"/>
          <w:highlight w:val="cyan"/>
          <w:u w:val="single"/>
        </w:rPr>
        <w:t>Recognizing historical context</w:t>
      </w:r>
      <w:r>
        <w:rPr>
          <w:b w:val="0"/>
          <w:i w:val="0"/>
          <w:smallCaps w:val="0"/>
          <w:strike w:val="0"/>
          <w:u w:val="none"/>
        </w:rPr>
        <w:t xml:space="preserve"> and linking it to </w:t>
      </w:r>
      <w:r>
        <w:rPr>
          <w:b w:val="0"/>
          <w:i w:val="0"/>
          <w:smallCaps w:val="0"/>
          <w:strike w:val="0"/>
          <w:sz w:val="22"/>
          <w:highlight w:val="cyan"/>
          <w:u w:val="single"/>
        </w:rPr>
        <w:t>the foundational principle</w:t>
      </w:r>
      <w:r>
        <w:rPr>
          <w:b w:val="0"/>
          <w:i w:val="0"/>
          <w:smallCaps w:val="0"/>
          <w:strike w:val="0"/>
          <w:u w:val="none"/>
        </w:rPr>
        <w:t xml:space="preserve"> that rights-based advocacy is essential to the survival of Indigenous Peoples is the primary democratic means of reconciling the injustices historically and continuously exacted on Indigenous Peoples. As Martin Luther King Jr. so aptly taught: Injustice anywhere is a threat to justice everywhere. Larissa Behrendt seized upon this [*213] principle and gave it practical meaning for Indigenous Peoples when she stated:</w:t>
      </w:r>
    </w:p>
    <w:p>
      <w:pPr>
        <w:spacing w:after="60"/>
      </w:pPr>
      <w:r>
        <w:rPr>
          <w:b w:val="0"/>
          <w:i w:val="0"/>
          <w:smallCaps w:val="0"/>
          <w:strike w:val="0"/>
          <w:sz w:val="22"/>
          <w:highlight w:val="cyan"/>
          <w:u w:val="single"/>
        </w:rPr>
        <w:t xml:space="preserve">By failing to recognize Indigenous </w:t>
      </w:r>
      <w:r>
        <w:rPr>
          <w:b w:val="0"/>
          <w:i w:val="0"/>
          <w:smallCaps w:val="0"/>
          <w:strike w:val="0"/>
          <w:sz w:val="22"/>
          <w:u w:val="single"/>
        </w:rPr>
        <w:t>ownership</w:t>
      </w:r>
      <w:r>
        <w:rPr>
          <w:b w:val="0"/>
          <w:i w:val="0"/>
          <w:smallCaps w:val="0"/>
          <w:strike w:val="0"/>
          <w:sz w:val="22"/>
          <w:u w:val="single"/>
        </w:rPr>
        <w:t xml:space="preserve"> and </w:t>
      </w:r>
      <w:r>
        <w:rPr>
          <w:b w:val="0"/>
          <w:i w:val="0"/>
          <w:smallCaps w:val="0"/>
          <w:strike w:val="0"/>
          <w:sz w:val="22"/>
          <w:highlight w:val="cyan"/>
          <w:u w:val="single"/>
        </w:rPr>
        <w:t>presence</w:t>
      </w:r>
      <w:r>
        <w:rPr>
          <w:b w:val="0"/>
          <w:i w:val="0"/>
          <w:smallCaps w:val="0"/>
          <w:strike w:val="0"/>
          <w:sz w:val="22"/>
          <w:u w:val="single"/>
        </w:rPr>
        <w:t xml:space="preserve">, </w:t>
      </w:r>
      <w:r>
        <w:rPr>
          <w:b w:val="0"/>
          <w:i w:val="0"/>
          <w:smallCaps w:val="0"/>
          <w:strike w:val="0"/>
          <w:sz w:val="22"/>
          <w:highlight w:val="cyan"/>
          <w:u w:val="single"/>
        </w:rPr>
        <w:t>Indigenous property rights are relegated to the status of a hand-out</w:t>
      </w:r>
      <w:r>
        <w:rPr>
          <w:b w:val="0"/>
          <w:i w:val="0"/>
          <w:smallCaps w:val="0"/>
          <w:strike w:val="0"/>
          <w:u w:val="none"/>
        </w:rPr>
        <w:t xml:space="preserve">. </w:t>
      </w:r>
      <w:r>
        <w:rPr>
          <w:b w:val="0"/>
          <w:i w:val="0"/>
          <w:smallCaps w:val="0"/>
          <w:strike w:val="0"/>
          <w:sz w:val="22"/>
          <w:u w:val="single"/>
        </w:rPr>
        <w:t xml:space="preserve">Native </w:t>
      </w:r>
      <w:r>
        <w:rPr>
          <w:b w:val="0"/>
          <w:i w:val="0"/>
          <w:smallCaps w:val="0"/>
          <w:strike w:val="0"/>
          <w:sz w:val="22"/>
          <w:highlight w:val="cyan"/>
          <w:u w:val="single"/>
        </w:rPr>
        <w:t>Title</w:t>
      </w:r>
      <w:r>
        <w:rPr>
          <w:b w:val="0"/>
          <w:i w:val="0"/>
          <w:smallCaps w:val="0"/>
          <w:strike w:val="0"/>
          <w:sz w:val="22"/>
          <w:u w:val="single"/>
        </w:rPr>
        <w:t xml:space="preserve"> is </w:t>
      </w:r>
      <w:r>
        <w:rPr>
          <w:b w:val="0"/>
          <w:i w:val="0"/>
          <w:smallCaps w:val="0"/>
          <w:strike w:val="0"/>
          <w:sz w:val="22"/>
          <w:highlight w:val="cyan"/>
          <w:u w:val="single"/>
        </w:rPr>
        <w:t xml:space="preserve">not seen as a property right </w:t>
      </w:r>
      <w:r>
        <w:rPr>
          <w:b w:val="0"/>
          <w:i w:val="0"/>
          <w:smallCaps w:val="0"/>
          <w:strike w:val="0"/>
          <w:sz w:val="22"/>
          <w:u w:val="single"/>
        </w:rPr>
        <w:t>descended</w:t>
      </w:r>
      <w:r>
        <w:rPr>
          <w:b w:val="0"/>
          <w:i w:val="0"/>
          <w:smallCaps w:val="0"/>
          <w:strike w:val="0"/>
          <w:sz w:val="22"/>
          <w:u w:val="single"/>
        </w:rPr>
        <w:t xml:space="preserve"> from prior occupation </w:t>
      </w:r>
      <w:r>
        <w:rPr>
          <w:b w:val="0"/>
          <w:i w:val="0"/>
          <w:smallCaps w:val="0"/>
          <w:strike w:val="0"/>
          <w:sz w:val="22"/>
          <w:highlight w:val="cyan"/>
          <w:u w:val="single"/>
        </w:rPr>
        <w:t>but a welfare measure</w:t>
      </w:r>
      <w:r>
        <w:rPr>
          <w:b w:val="0"/>
          <w:i w:val="0"/>
          <w:smallCaps w:val="0"/>
          <w:strike w:val="0"/>
          <w:u w:val="none"/>
        </w:rPr>
        <w:t xml:space="preserve">: Indigenous peoples, when a legitimate property right is recognized, are </w:t>
      </w:r>
      <w:r>
        <w:rPr>
          <w:b w:val="0"/>
          <w:i w:val="0"/>
          <w:smallCaps w:val="0"/>
          <w:strike w:val="0"/>
          <w:sz w:val="22"/>
          <w:highlight w:val="cyan"/>
          <w:u w:val="single"/>
        </w:rPr>
        <w:t>seen as</w:t>
      </w:r>
      <w:r>
        <w:rPr>
          <w:b w:val="0"/>
          <w:i w:val="0"/>
          <w:smallCaps w:val="0"/>
          <w:strike w:val="0"/>
          <w:highlight w:val="cyan"/>
          <w:u w:val="none"/>
        </w:rPr>
        <w:t xml:space="preserve"> </w:t>
      </w:r>
      <w:r>
        <w:rPr>
          <w:b w:val="0"/>
          <w:i w:val="0"/>
          <w:smallCaps w:val="0"/>
          <w:strike w:val="0"/>
          <w:sz w:val="22"/>
          <w:highlight w:val="cyan"/>
          <w:u w:val="single"/>
        </w:rPr>
        <w:t>getting something for nothing</w:t>
      </w:r>
      <w:r>
        <w:rPr>
          <w:b w:val="0"/>
          <w:i w:val="0"/>
          <w:smallCaps w:val="0"/>
          <w:strike w:val="0"/>
          <w:u w:val="none"/>
        </w:rPr>
        <w:t>.</w:t>
      </w:r>
    </w:p>
    <w:p>
      <w:pPr>
        <w:spacing w:after="60"/>
      </w:pPr>
      <w:r>
        <w:rPr>
          <w:b w:val="0"/>
          <w:i w:val="0"/>
          <w:smallCaps w:val="0"/>
          <w:strike w:val="0"/>
          <w:sz w:val="22"/>
          <w:highlight w:val="cyan"/>
          <w:u w:val="single"/>
        </w:rPr>
        <w:t>Due to these perceptions, Indigenous rights are vulnerable</w:t>
      </w:r>
      <w:r>
        <w:rPr>
          <w:b w:val="0"/>
          <w:i w:val="0"/>
          <w:smallCaps w:val="0"/>
          <w:strike w:val="0"/>
          <w:sz w:val="22"/>
          <w:u w:val="single"/>
        </w:rPr>
        <w:t>, treated differently, and given less protection than their non-Indigenous equivalents</w:t>
      </w:r>
      <w:r>
        <w:rPr>
          <w:b w:val="0"/>
          <w:i w:val="0"/>
          <w:smallCaps w:val="0"/>
          <w:strike w:val="0"/>
          <w:u w:val="none"/>
        </w:rPr>
        <w:t>.10</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