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alternative is a radical negative and antinomian stance against the established legal order. Refuse to engage the system and negate legality itself. </w:t>
      </w:r>
    </w:p>
    <w:p>
      <w:pPr>
        <w:spacing w:after="80"/>
      </w:pPr>
      <w:r>
        <w:rPr>
          <w:b/>
          <w:i w:val="0"/>
          <w:smallCaps w:val="0"/>
          <w:strike w:val="0"/>
          <w:sz w:val="26"/>
          <w:u w:val="none"/>
        </w:rPr>
        <w:t xml:space="preserve">Edelman ’22 </w:t>
      </w:r>
      <w:r>
        <w:rPr>
          <w:b w:val="0"/>
          <w:i w:val="0"/>
          <w:smallCaps w:val="0"/>
          <w:strike w:val="0"/>
          <w:u w:val="none"/>
        </w:rPr>
        <w:t xml:space="preserve">[Lee Edelman, </w:t>
      </w:r>
      <w:r>
        <w:rPr>
          <w:b w:val="0"/>
          <w:i w:val="0"/>
          <w:smallCaps w:val="0"/>
          <w:strike w:val="0"/>
          <w:u w:val="none"/>
        </w:rPr>
        <w:t>professor of English at Tufts University</w:t>
      </w:r>
      <w:r>
        <w:rPr>
          <w:b w:val="0"/>
          <w:i w:val="0"/>
          <w:smallCaps w:val="0"/>
          <w:strike w:val="0"/>
          <w:u w:val="none"/>
        </w:rPr>
        <w:t>. “Bad Education: Why Queer Theory Teaches Us Nothing”, Dec. 2022, accessed Jul. 14</w:t>
      </w:r>
      <w:r>
        <w:rPr>
          <w:b w:val="0"/>
          <w:i w:val="0"/>
          <w:smallCaps w:val="0"/>
          <w:strike w:val="0"/>
          <w:u w:val="none"/>
        </w:rPr>
        <w:t>.</w:t>
      </w:r>
      <w:r>
        <w:rPr>
          <w:b w:val="0"/>
          <w:i w:val="0"/>
          <w:smallCaps w:val="0"/>
          <w:strike w:val="0"/>
          <w:u w:val="none"/>
        </w:rPr>
        <w:t>]//max</w:t>
      </w:r>
    </w:p>
    <w:p>
      <w:pPr>
        <w:spacing w:after="60"/>
      </w:pPr>
      <w:r>
        <w:rPr>
          <w:b w:val="0"/>
          <w:i w:val="0"/>
          <w:smallCaps w:val="0"/>
          <w:strike w:val="0"/>
          <w:u w:val="single"/>
        </w:rPr>
        <w:t xml:space="preserve">Explaining </w:t>
      </w:r>
      <w:r>
        <w:rPr>
          <w:b/>
          <w:i w:val="0"/>
          <w:smallCaps w:val="0"/>
          <w:strike w:val="0"/>
          <w:highlight w:val="cyan"/>
          <w:u w:val="single"/>
        </w:rPr>
        <w:t>her refusal</w:t>
      </w:r>
      <w:r>
        <w:rPr>
          <w:b w:val="0"/>
          <w:i w:val="0"/>
          <w:smallCaps w:val="0"/>
          <w:strike w:val="0"/>
          <w:u w:val="none"/>
        </w:rPr>
        <w:t xml:space="preserve">, </w:t>
      </w:r>
      <w:r>
        <w:rPr>
          <w:b w:val="0"/>
          <w:i w:val="0"/>
          <w:smallCaps w:val="0"/>
          <w:strike w:val="0"/>
          <w:sz w:val="16"/>
          <w:u w:val="none"/>
        </w:rPr>
        <w:t>after escaping to the North</w:t>
      </w:r>
      <w:r>
        <w:rPr>
          <w:b w:val="0"/>
          <w:i w:val="0"/>
          <w:smallCaps w:val="0"/>
          <w:strike w:val="0"/>
          <w:u w:val="none"/>
        </w:rPr>
        <w:t xml:space="preserve">, </w:t>
      </w:r>
      <w:r>
        <w:rPr>
          <w:b w:val="0"/>
          <w:i w:val="0"/>
          <w:smallCaps w:val="0"/>
          <w:strike w:val="0"/>
          <w:highlight w:val="cyan"/>
          <w:u w:val="single"/>
        </w:rPr>
        <w:t>to purchase her freedom</w:t>
      </w:r>
      <w:r>
        <w:rPr>
          <w:b w:val="0"/>
          <w:i w:val="0"/>
          <w:smallCaps w:val="0"/>
          <w:strike w:val="0"/>
          <w:u w:val="none"/>
        </w:rPr>
        <w:t xml:space="preserve"> </w:t>
      </w:r>
      <w:r>
        <w:rPr>
          <w:b w:val="0"/>
          <w:i w:val="0"/>
          <w:smallCaps w:val="0"/>
          <w:strike w:val="0"/>
          <w:sz w:val="16"/>
          <w:u w:val="none"/>
        </w:rPr>
        <w:t>from the man who continued to claim her as his slave,</w:t>
      </w:r>
      <w:r>
        <w:rPr>
          <w:b w:val="0"/>
          <w:i w:val="0"/>
          <w:smallCaps w:val="0"/>
          <w:strike w:val="0"/>
          <w:u w:val="none"/>
        </w:rPr>
        <w:t xml:space="preserve"> </w:t>
      </w:r>
      <w:r>
        <w:rPr>
          <w:b w:val="0"/>
          <w:i w:val="0"/>
          <w:smallCaps w:val="0"/>
          <w:strike w:val="0"/>
          <w:highlight w:val="cyan"/>
          <w:u w:val="single"/>
        </w:rPr>
        <w:t xml:space="preserve">Jacobs writes, “I knew </w:t>
      </w:r>
      <w:r>
        <w:rPr>
          <w:b/>
          <w:i w:val="0"/>
          <w:smallCaps w:val="0"/>
          <w:strike w:val="0"/>
          <w:highlight w:val="cyan"/>
          <w:u w:val="single"/>
        </w:rPr>
        <w:t>the law would decide that I was his property</w:t>
      </w:r>
      <w:r>
        <w:rPr>
          <w:b w:val="0"/>
          <w:i w:val="0"/>
          <w:smallCaps w:val="0"/>
          <w:strike w:val="0"/>
          <w:u w:val="none"/>
        </w:rPr>
        <w:t xml:space="preserve">, </w:t>
      </w:r>
      <w:r>
        <w:rPr>
          <w:b w:val="0"/>
          <w:i w:val="0"/>
          <w:smallCaps w:val="0"/>
          <w:strike w:val="0"/>
          <w:sz w:val="16"/>
          <w:u w:val="none"/>
        </w:rPr>
        <w:t>and would probably still give his daughter a claim to my children;</w:t>
      </w:r>
      <w:r>
        <w:rPr>
          <w:b w:val="0"/>
          <w:i w:val="0"/>
          <w:smallCaps w:val="0"/>
          <w:strike w:val="0"/>
          <w:u w:val="none"/>
        </w:rPr>
        <w:t xml:space="preserve"> </w:t>
      </w:r>
      <w:r>
        <w:rPr>
          <w:b w:val="0"/>
          <w:i w:val="0"/>
          <w:smallCaps w:val="0"/>
          <w:strike w:val="0"/>
          <w:u w:val="single"/>
        </w:rPr>
        <w:t xml:space="preserve">but </w:t>
      </w:r>
      <w:r>
        <w:rPr>
          <w:b w:val="0"/>
          <w:i w:val="0"/>
          <w:smallCaps w:val="0"/>
          <w:strike w:val="0"/>
          <w:highlight w:val="cyan"/>
          <w:u w:val="single"/>
        </w:rPr>
        <w:t>I regarded</w:t>
      </w:r>
      <w:r>
        <w:rPr>
          <w:b w:val="0"/>
          <w:i w:val="0"/>
          <w:smallCaps w:val="0"/>
          <w:strike w:val="0"/>
          <w:u w:val="single"/>
        </w:rPr>
        <w:t xml:space="preserve"> such </w:t>
      </w:r>
      <w:r>
        <w:rPr>
          <w:b w:val="0"/>
          <w:i w:val="0"/>
          <w:smallCaps w:val="0"/>
          <w:strike w:val="0"/>
          <w:highlight w:val="cyan"/>
          <w:u w:val="single"/>
        </w:rPr>
        <w:t xml:space="preserve">laws as the </w:t>
      </w:r>
      <w:r>
        <w:rPr>
          <w:b/>
          <w:i w:val="0"/>
          <w:smallCaps w:val="0"/>
          <w:strike w:val="0"/>
          <w:highlight w:val="cyan"/>
          <w:u w:val="single"/>
        </w:rPr>
        <w:t>regulations of robbers</w:t>
      </w:r>
      <w:r>
        <w:rPr>
          <w:b w:val="0"/>
          <w:i w:val="0"/>
          <w:smallCaps w:val="0"/>
          <w:strike w:val="0"/>
          <w:highlight w:val="cyan"/>
          <w:u w:val="single"/>
        </w:rPr>
        <w:t>, who had no rights that I</w:t>
      </w:r>
      <w:r>
        <w:rPr>
          <w:b w:val="0"/>
          <w:i w:val="0"/>
          <w:smallCaps w:val="0"/>
          <w:strike w:val="0"/>
          <w:u w:val="single"/>
        </w:rPr>
        <w:t xml:space="preserve"> was bound to </w:t>
      </w:r>
      <w:r>
        <w:rPr>
          <w:b w:val="0"/>
          <w:i w:val="0"/>
          <w:smallCaps w:val="0"/>
          <w:strike w:val="0"/>
          <w:highlight w:val="cyan"/>
          <w:u w:val="single"/>
        </w:rPr>
        <w:t>respect</w:t>
      </w:r>
      <w:r>
        <w:rPr>
          <w:b w:val="0"/>
          <w:i w:val="0"/>
          <w:smallCaps w:val="0"/>
          <w:strike w:val="0"/>
          <w:u w:val="none"/>
        </w:rPr>
        <w:t>”</w:t>
      </w:r>
      <w:r>
        <w:rPr>
          <w:b w:val="0"/>
          <w:i w:val="0"/>
          <w:smallCaps w:val="0"/>
          <w:strike w:val="0"/>
          <w:sz w:val="16"/>
          <w:u w:val="none"/>
        </w:rPr>
        <w:t xml:space="preserve"> (155). </w:t>
      </w:r>
      <w:r>
        <w:rPr>
          <w:b w:val="0"/>
          <w:i w:val="0"/>
          <w:smallCaps w:val="0"/>
          <w:strike w:val="0"/>
          <w:highlight w:val="cyan"/>
          <w:u w:val="single"/>
        </w:rPr>
        <w:t>This opposition of</w:t>
      </w:r>
      <w:r>
        <w:rPr>
          <w:b w:val="0"/>
          <w:i w:val="0"/>
          <w:smallCaps w:val="0"/>
          <w:strike w:val="0"/>
          <w:u w:val="single"/>
        </w:rPr>
        <w:t xml:space="preserve"> </w:t>
      </w:r>
      <w:r>
        <w:rPr>
          <w:b w:val="0"/>
          <w:i w:val="0"/>
          <w:smallCaps w:val="0"/>
          <w:strike w:val="0"/>
          <w:sz w:val="16"/>
          <w:u w:val="none"/>
        </w:rPr>
        <w:t>a natural or</w:t>
      </w:r>
      <w:r>
        <w:rPr>
          <w:b w:val="0"/>
          <w:i w:val="0"/>
          <w:smallCaps w:val="0"/>
          <w:strike w:val="0"/>
          <w:u w:val="none"/>
        </w:rPr>
        <w:t xml:space="preserve"> </w:t>
      </w:r>
      <w:r>
        <w:rPr>
          <w:b w:val="0"/>
          <w:i w:val="0"/>
          <w:smallCaps w:val="0"/>
          <w:strike w:val="0"/>
          <w:highlight w:val="cyan"/>
          <w:u w:val="single"/>
        </w:rPr>
        <w:t>moral law to</w:t>
      </w:r>
      <w:r>
        <w:rPr>
          <w:b w:val="0"/>
          <w:i w:val="0"/>
          <w:smallCaps w:val="0"/>
          <w:strike w:val="0"/>
          <w:u w:val="single"/>
        </w:rPr>
        <w:t xml:space="preserve"> the written law of </w:t>
      </w:r>
      <w:r>
        <w:rPr>
          <w:b w:val="0"/>
          <w:i w:val="0"/>
          <w:smallCaps w:val="0"/>
          <w:strike w:val="0"/>
          <w:highlight w:val="cyan"/>
          <w:u w:val="single"/>
        </w:rPr>
        <w:t>the state</w:t>
      </w:r>
      <w:r>
        <w:rPr>
          <w:b w:val="0"/>
          <w:i w:val="0"/>
          <w:smallCaps w:val="0"/>
          <w:strike w:val="0"/>
          <w:u w:val="single"/>
        </w:rPr>
        <w:t xml:space="preserve"> </w:t>
      </w:r>
      <w:r>
        <w:rPr>
          <w:b w:val="0"/>
          <w:i w:val="0"/>
          <w:smallCaps w:val="0"/>
          <w:strike w:val="0"/>
          <w:highlight w:val="cyan"/>
          <w:u w:val="single"/>
        </w:rPr>
        <w:t>establishes</w:t>
      </w:r>
      <w:r>
        <w:rPr>
          <w:b w:val="0"/>
          <w:i w:val="0"/>
          <w:smallCaps w:val="0"/>
          <w:strike w:val="0"/>
          <w:u w:val="single"/>
        </w:rPr>
        <w:t xml:space="preserve"> the basis for </w:t>
      </w:r>
      <w:r>
        <w:rPr>
          <w:b/>
          <w:i w:val="0"/>
          <w:smallCaps w:val="0"/>
          <w:strike w:val="0"/>
          <w:u w:val="single"/>
        </w:rPr>
        <w:t xml:space="preserve">every form of </w:t>
      </w:r>
      <w:r>
        <w:rPr>
          <w:b/>
          <w:i w:val="0"/>
          <w:smallCaps w:val="0"/>
          <w:strike w:val="0"/>
          <w:highlight w:val="cyan"/>
          <w:u w:val="single"/>
        </w:rPr>
        <w:t>antinomian practice</w:t>
      </w:r>
      <w:r>
        <w:rPr>
          <w:b/>
          <w:i w:val="0"/>
          <w:smallCaps w:val="0"/>
          <w:strike w:val="0"/>
          <w:u w:val="none"/>
        </w:rPr>
        <w:t>.</w:t>
      </w:r>
      <w:r>
        <w:rPr>
          <w:b w:val="0"/>
          <w:i w:val="0"/>
          <w:smallCaps w:val="0"/>
          <w:strike w:val="0"/>
          <w:u w:val="none"/>
        </w:rPr>
        <w:t xml:space="preserve"> </w:t>
      </w:r>
      <w:r>
        <w:rPr>
          <w:b w:val="0"/>
          <w:i w:val="0"/>
          <w:smallCaps w:val="0"/>
          <w:strike w:val="0"/>
          <w:sz w:val="10"/>
          <w:u w:val="none"/>
        </w:rPr>
        <w:t>It subtends, as a consequence, resistance to law by the right and the left alike. As Rebecca Hill writes in an analysis of John Brown’s abolitionist fervor, “Scholars writing about John Brown in the 1970s connected his disturbing use of violence to the revolutionary left. Today’s historians are just as likely to compare the ‘antinomian’ Brown to right-wing evangelical Protestant militants, as represented by the anti-abortion terrorist Paul Hill.”72 The tension that elicits these seemingly antithetical historical comparisons is at least as old as Antigone, the text Lacan discusses in The Ethics of Psychoanalysis to illuminate the relation of drive and jouissance to the law.73 Antigone’s refusal of Creon’s decree that her brother remain unburied expresses, for Lacan, a tension between the state law wielded by Creon and the chthonic law, the law of the earth, that Antigone calls the unwritten law of gods more ancient than Zeus. Lacan explains as follows: “These are no longer laws, νόμοϛ [nomos], but a certain legality which is a consequence of the laws of the gods that are said to be αγραπτα [agrapta], which is translated as ‘unwritten.’ . . . Involved here is an invocation of something that is, in effect, of the order of the law, but which is not developed in any signifying chain.”74</w:t>
      </w:r>
      <w:r>
        <w:rPr>
          <w:b w:val="0"/>
          <w:i w:val="0"/>
          <w:smallCaps w:val="0"/>
          <w:strike w:val="0"/>
          <w:u w:val="none"/>
        </w:rPr>
        <w:t xml:space="preserve"> </w:t>
      </w:r>
      <w:r>
        <w:rPr>
          <w:b w:val="0"/>
          <w:i w:val="0"/>
          <w:smallCaps w:val="0"/>
          <w:strike w:val="0"/>
          <w:u w:val="single"/>
        </w:rPr>
        <w:t>This imperative, pertaining to “the order of the law” but unwritten</w:t>
      </w:r>
      <w:r>
        <w:rPr>
          <w:b w:val="0"/>
          <w:i w:val="0"/>
          <w:smallCaps w:val="0"/>
          <w:strike w:val="0"/>
          <w:u w:val="none"/>
        </w:rPr>
        <w:t xml:space="preserve">, </w:t>
      </w:r>
      <w:r>
        <w:rPr>
          <w:b w:val="0"/>
          <w:i w:val="0"/>
          <w:smallCaps w:val="0"/>
          <w:strike w:val="0"/>
          <w:sz w:val="16"/>
          <w:u w:val="none"/>
        </w:rPr>
        <w:t>unarticulated, and unacknowledged within the order of signification,</w:t>
      </w:r>
      <w:r>
        <w:rPr>
          <w:b w:val="0"/>
          <w:i w:val="0"/>
          <w:smallCaps w:val="0"/>
          <w:strike w:val="0"/>
          <w:u w:val="none"/>
        </w:rPr>
        <w:t xml:space="preserve"> </w:t>
      </w:r>
      <w:r>
        <w:rPr>
          <w:b w:val="0"/>
          <w:i w:val="0"/>
          <w:smallCaps w:val="0"/>
          <w:strike w:val="0"/>
          <w:u w:val="single"/>
        </w:rPr>
        <w:t>launches Antigone into “</w:t>
      </w:r>
      <w:r>
        <w:rPr>
          <w:b/>
          <w:i w:val="0"/>
          <w:smallCaps w:val="0"/>
          <w:strike w:val="0"/>
          <w:u w:val="single"/>
        </w:rPr>
        <w:t>the field of the Other</w:t>
      </w:r>
      <w:r>
        <w:rPr>
          <w:b w:val="0"/>
          <w:i w:val="0"/>
          <w:smallCaps w:val="0"/>
          <w:strike w:val="0"/>
          <w:u w:val="none"/>
        </w:rPr>
        <w:t xml:space="preserve">,” </w:t>
      </w:r>
      <w:r>
        <w:rPr>
          <w:b w:val="0"/>
          <w:i w:val="0"/>
          <w:smallCaps w:val="0"/>
          <w:strike w:val="0"/>
          <w:sz w:val="16"/>
          <w:u w:val="none"/>
        </w:rPr>
        <w:t>beyond the limits of the human.75</w:t>
      </w:r>
      <w:r>
        <w:rPr>
          <w:b w:val="0"/>
          <w:i w:val="0"/>
          <w:smallCaps w:val="0"/>
          <w:strike w:val="0"/>
          <w:u w:val="none"/>
        </w:rPr>
        <w:t xml:space="preserve"> </w:t>
      </w:r>
      <w:r>
        <w:rPr>
          <w:b w:val="0"/>
          <w:i w:val="0"/>
          <w:smallCaps w:val="0"/>
          <w:strike w:val="0"/>
          <w:highlight w:val="cyan"/>
          <w:u w:val="single"/>
        </w:rPr>
        <w:t>She</w:t>
      </w:r>
      <w:r>
        <w:rPr>
          <w:b w:val="0"/>
          <w:i w:val="0"/>
          <w:smallCaps w:val="0"/>
          <w:strike w:val="0"/>
          <w:u w:val="single"/>
        </w:rPr>
        <w:t xml:space="preserve"> </w:t>
      </w:r>
      <w:r>
        <w:rPr>
          <w:b w:val="0"/>
          <w:i w:val="0"/>
          <w:smallCaps w:val="0"/>
          <w:strike w:val="0"/>
          <w:u w:val="single"/>
        </w:rPr>
        <w:t>thus</w:t>
      </w:r>
      <w:r>
        <w:rPr>
          <w:b w:val="0"/>
          <w:i w:val="0"/>
          <w:smallCaps w:val="0"/>
          <w:strike w:val="0"/>
          <w:u w:val="single"/>
        </w:rPr>
        <w:t xml:space="preserve"> fully </w:t>
      </w:r>
      <w:r>
        <w:rPr>
          <w:b w:val="0"/>
          <w:i w:val="0"/>
          <w:smallCaps w:val="0"/>
          <w:strike w:val="0"/>
          <w:highlight w:val="cyan"/>
          <w:u w:val="single"/>
        </w:rPr>
        <w:t>assumes her responsibility to</w:t>
      </w:r>
      <w:r>
        <w:rPr>
          <w:b w:val="0"/>
          <w:i w:val="0"/>
          <w:smallCaps w:val="0"/>
          <w:strike w:val="0"/>
          <w:u w:val="single"/>
        </w:rPr>
        <w:t xml:space="preserve"> the </w:t>
      </w:r>
      <w:r>
        <w:rPr>
          <w:b w:val="0"/>
          <w:i w:val="0"/>
          <w:smallCaps w:val="0"/>
          <w:strike w:val="0"/>
          <w:highlight w:val="cyan"/>
          <w:u w:val="single"/>
        </w:rPr>
        <w:t>Kantian moral law</w:t>
      </w:r>
      <w:r>
        <w:rPr>
          <w:b w:val="0"/>
          <w:i w:val="0"/>
          <w:smallCaps w:val="0"/>
          <w:strike w:val="0"/>
          <w:u w:val="single"/>
        </w:rPr>
        <w:t xml:space="preserve">, </w:t>
      </w:r>
      <w:r>
        <w:rPr>
          <w:b w:val="0"/>
          <w:i w:val="0"/>
          <w:smallCaps w:val="0"/>
          <w:strike w:val="0"/>
          <w:u w:val="single"/>
        </w:rPr>
        <w:t>whose requirements can never be satisfied by mere obedience to codified rules</w:t>
      </w:r>
      <w:r>
        <w:rPr>
          <w:b w:val="0"/>
          <w:i w:val="0"/>
          <w:smallCaps w:val="0"/>
          <w:strike w:val="0"/>
          <w:u w:val="none"/>
        </w:rPr>
        <w:t xml:space="preserve">. </w:t>
      </w:r>
      <w:r>
        <w:rPr>
          <w:b w:val="0"/>
          <w:i w:val="0"/>
          <w:smallCaps w:val="0"/>
          <w:strike w:val="0"/>
          <w:sz w:val="16"/>
          <w:u w:val="none"/>
        </w:rPr>
        <w:t>Moral law remains αγραπτα because it is unspecified in advance</w:t>
      </w:r>
      <w:r>
        <w:rPr>
          <w:b w:val="0"/>
          <w:i w:val="0"/>
          <w:smallCaps w:val="0"/>
          <w:strike w:val="0"/>
          <w:u w:val="none"/>
        </w:rPr>
        <w:t>—</w:t>
      </w:r>
      <w:r>
        <w:rPr>
          <w:b w:val="0"/>
          <w:i w:val="0"/>
          <w:smallCaps w:val="0"/>
          <w:strike w:val="0"/>
          <w:u w:val="single"/>
        </w:rPr>
        <w:t xml:space="preserve">and </w:t>
      </w:r>
      <w:r>
        <w:rPr>
          <w:b w:val="0"/>
          <w:i w:val="0"/>
          <w:smallCaps w:val="0"/>
          <w:strike w:val="0"/>
          <w:highlight w:val="cyan"/>
          <w:u w:val="single"/>
        </w:rPr>
        <w:t xml:space="preserve">all persons must formulate maxims to </w:t>
      </w:r>
      <w:r>
        <w:rPr>
          <w:b/>
          <w:i w:val="0"/>
          <w:smallCaps w:val="0"/>
          <w:strike w:val="0"/>
          <w:highlight w:val="cyan"/>
          <w:u w:val="single"/>
        </w:rPr>
        <w:t>embody its categorical imperative</w:t>
      </w:r>
      <w:r>
        <w:rPr>
          <w:b/>
          <w:i w:val="0"/>
          <w:smallCaps w:val="0"/>
          <w:strike w:val="0"/>
          <w:sz w:val="16"/>
          <w:highlight w:val="cyan"/>
          <w:u w:val="single"/>
        </w:rPr>
        <w:t>.</w:t>
      </w:r>
      <w:r>
        <w:rPr>
          <w:b w:val="0"/>
          <w:i w:val="0"/>
          <w:smallCaps w:val="0"/>
          <w:strike w:val="0"/>
          <w:sz w:val="16"/>
          <w:u w:val="none"/>
        </w:rPr>
        <w:t xml:space="preserve"> In this they become responsible both for it and to it at once</w:t>
      </w:r>
      <w:r>
        <w:rPr>
          <w:b w:val="0"/>
          <w:i w:val="0"/>
          <w:smallCaps w:val="0"/>
          <w:strike w:val="0"/>
          <w:u w:val="none"/>
        </w:rPr>
        <w:t xml:space="preserve">. </w:t>
      </w:r>
      <w:r>
        <w:rPr>
          <w:b w:val="0"/>
          <w:i w:val="0"/>
          <w:smallCaps w:val="0"/>
          <w:strike w:val="0"/>
          <w:highlight w:val="cyan"/>
          <w:u w:val="single"/>
        </w:rPr>
        <w:t>Such a law</w:t>
      </w:r>
      <w:r>
        <w:rPr>
          <w:b w:val="0"/>
          <w:i w:val="0"/>
          <w:smallCaps w:val="0"/>
          <w:strike w:val="0"/>
          <w:u w:val="none"/>
        </w:rPr>
        <w:t xml:space="preserve">, </w:t>
      </w:r>
      <w:r>
        <w:rPr>
          <w:b w:val="0"/>
          <w:i w:val="0"/>
          <w:smallCaps w:val="0"/>
          <w:strike w:val="0"/>
          <w:sz w:val="16"/>
          <w:u w:val="none"/>
        </w:rPr>
        <w:t xml:space="preserve">as Kant understands it, </w:t>
      </w:r>
      <w:r>
        <w:rPr>
          <w:b/>
          <w:i w:val="0"/>
          <w:smallCaps w:val="0"/>
          <w:strike w:val="0"/>
          <w:highlight w:val="cyan"/>
          <w:u w:val="single"/>
        </w:rPr>
        <w:t>drives the subject beyond itself</w:t>
      </w:r>
      <w:r>
        <w:rPr>
          <w:b w:val="0"/>
          <w:i w:val="0"/>
          <w:smallCaps w:val="0"/>
          <w:strike w:val="0"/>
          <w:u w:val="single"/>
        </w:rPr>
        <w:t>,</w:t>
      </w:r>
      <w:r>
        <w:rPr>
          <w:b w:val="0"/>
          <w:i w:val="0"/>
          <w:smallCaps w:val="0"/>
          <w:strike w:val="0"/>
          <w:u w:val="none"/>
        </w:rPr>
        <w:t xml:space="preserve"> </w:t>
      </w:r>
      <w:r>
        <w:rPr>
          <w:b w:val="0"/>
          <w:i w:val="0"/>
          <w:smallCaps w:val="0"/>
          <w:strike w:val="0"/>
          <w:sz w:val="16"/>
          <w:u w:val="none"/>
        </w:rPr>
        <w:t>beyond, that is, the self invested in its formal coherence, its aesthetic unity</w:t>
      </w:r>
      <w:r>
        <w:rPr>
          <w:b w:val="0"/>
          <w:i w:val="0"/>
          <w:smallCaps w:val="0"/>
          <w:strike w:val="0"/>
          <w:u w:val="none"/>
        </w:rPr>
        <w:t xml:space="preserve">, </w:t>
      </w:r>
      <w:r>
        <w:rPr>
          <w:b w:val="0"/>
          <w:i w:val="0"/>
          <w:smallCaps w:val="0"/>
          <w:strike w:val="0"/>
          <w:u w:val="single"/>
        </w:rPr>
        <w:t>and toward the “immortal” self that sees such self-interest as pathological.</w:t>
      </w:r>
      <w:r>
        <w:rPr>
          <w:b w:val="0"/>
          <w:i w:val="0"/>
          <w:smallCaps w:val="0"/>
          <w:strike w:val="0"/>
          <w:u w:val="none"/>
        </w:rPr>
        <w:t xml:space="preserve"> </w:t>
      </w:r>
      <w:r>
        <w:rPr>
          <w:b w:val="0"/>
          <w:i w:val="0"/>
          <w:smallCaps w:val="0"/>
          <w:strike w:val="0"/>
          <w:sz w:val="16"/>
          <w:u w:val="none"/>
        </w:rPr>
        <w:t xml:space="preserve">If Lacan construes the death drive as leading us out of aestheticized selfhood, then that drive performs an education in the etymological sense of the term (from educere, “to lead out”) that opposes itself to the program of Schiller’s aesthetic education. </w:t>
      </w:r>
      <w:r>
        <w:rPr>
          <w:b w:val="0"/>
          <w:i w:val="0"/>
          <w:smallCaps w:val="0"/>
          <w:strike w:val="0"/>
          <w:highlight w:val="cyan"/>
          <w:u w:val="single"/>
        </w:rPr>
        <w:t xml:space="preserve">It </w:t>
      </w:r>
      <w:r>
        <w:rPr>
          <w:b/>
          <w:i w:val="0"/>
          <w:smallCaps w:val="0"/>
          <w:strike w:val="0"/>
          <w:highlight w:val="cyan"/>
          <w:u w:val="single"/>
        </w:rPr>
        <w:t>offers a radically different lesson</w:t>
      </w:r>
      <w:r>
        <w:rPr>
          <w:b w:val="0"/>
          <w:i w:val="0"/>
          <w:smallCaps w:val="0"/>
          <w:strike w:val="0"/>
          <w:highlight w:val="cyan"/>
          <w:u w:val="single"/>
        </w:rPr>
        <w:t xml:space="preserve"> in the subject’s relation to freedom</w:t>
      </w:r>
      <w:r>
        <w:rPr>
          <w:b w:val="0"/>
          <w:i w:val="0"/>
          <w:smallCaps w:val="0"/>
          <w:strike w:val="0"/>
          <w:u w:val="single"/>
        </w:rPr>
        <w:t xml:space="preserve">, one </w:t>
      </w:r>
      <w:r>
        <w:rPr>
          <w:b w:val="0"/>
          <w:i w:val="0"/>
          <w:smallCaps w:val="0"/>
          <w:strike w:val="0"/>
          <w:highlight w:val="cyan"/>
          <w:u w:val="single"/>
        </w:rPr>
        <w:t xml:space="preserve">it never ceases to repeat </w:t>
      </w:r>
      <w:r>
        <w:rPr>
          <w:b/>
          <w:i w:val="0"/>
          <w:smallCaps w:val="0"/>
          <w:strike w:val="0"/>
          <w:highlight w:val="cyan"/>
          <w:u w:val="single"/>
        </w:rPr>
        <w:t>because one we can never learn</w:t>
      </w:r>
      <w:r>
        <w:rPr>
          <w:b/>
          <w:i w:val="0"/>
          <w:smallCaps w:val="0"/>
          <w:strike w:val="0"/>
          <w:u w:val="single"/>
        </w:rPr>
        <w:t>.</w:t>
      </w:r>
      <w:r>
        <w:rPr>
          <w:b w:val="0"/>
          <w:i w:val="0"/>
          <w:smallCaps w:val="0"/>
          <w:strike w:val="0"/>
          <w:u w:val="none"/>
        </w:rPr>
        <w:t xml:space="preserve"> </w:t>
      </w:r>
      <w:r>
        <w:rPr>
          <w:b w:val="0"/>
          <w:i w:val="0"/>
          <w:smallCaps w:val="0"/>
          <w:strike w:val="0"/>
          <w:sz w:val="16"/>
          <w:u w:val="none"/>
        </w:rPr>
        <w:t>Insisting on the division between reality and the Real, the division that generates them both,</w:t>
      </w:r>
      <w:r>
        <w:rPr>
          <w:b w:val="0"/>
          <w:i w:val="0"/>
          <w:smallCaps w:val="0"/>
          <w:strike w:val="0"/>
          <w:u w:val="none"/>
        </w:rPr>
        <w:t xml:space="preserve"> </w:t>
      </w:r>
      <w:r>
        <w:rPr>
          <w:b w:val="0"/>
          <w:i w:val="0"/>
          <w:smallCaps w:val="0"/>
          <w:strike w:val="0"/>
          <w:highlight w:val="cyan"/>
          <w:u w:val="single"/>
        </w:rPr>
        <w:t>the drive propels the subject beyond</w:t>
      </w:r>
      <w:r>
        <w:rPr>
          <w:b w:val="0"/>
          <w:i w:val="0"/>
          <w:smallCaps w:val="0"/>
          <w:strike w:val="0"/>
          <w:u w:val="single"/>
        </w:rPr>
        <w:t xml:space="preserve"> its imaginary </w:t>
      </w:r>
      <w:r>
        <w:rPr>
          <w:b w:val="0"/>
          <w:i w:val="0"/>
          <w:smallCaps w:val="0"/>
          <w:strike w:val="0"/>
          <w:highlight w:val="cyan"/>
          <w:u w:val="single"/>
        </w:rPr>
        <w:t>coherence</w:t>
      </w:r>
      <w:r>
        <w:rPr>
          <w:b w:val="0"/>
          <w:i w:val="0"/>
          <w:smallCaps w:val="0"/>
          <w:strike w:val="0"/>
          <w:u w:val="single"/>
        </w:rPr>
        <w:t xml:space="preserve">, </w:t>
      </w:r>
      <w:r>
        <w:rPr>
          <w:b/>
          <w:i w:val="0"/>
          <w:smallCaps w:val="0"/>
          <w:strike w:val="0"/>
          <w:u w:val="single"/>
        </w:rPr>
        <w:t xml:space="preserve">beyond </w:t>
      </w:r>
      <w:r>
        <w:rPr>
          <w:b/>
          <w:i w:val="0"/>
          <w:smallCaps w:val="0"/>
          <w:strike w:val="0"/>
          <w:highlight w:val="cyan"/>
          <w:u w:val="single"/>
        </w:rPr>
        <w:t>the limits of its desire</w:t>
      </w:r>
      <w:r>
        <w:rPr>
          <w:b w:val="0"/>
          <w:i w:val="0"/>
          <w:smallCaps w:val="0"/>
          <w:strike w:val="0"/>
          <w:highlight w:val="cyan"/>
          <w:u w:val="single"/>
        </w:rPr>
        <w:t>, and so beyond the law of the state</w:t>
      </w:r>
      <w:r>
        <w:rPr>
          <w:b w:val="0"/>
          <w:i w:val="0"/>
          <w:smallCaps w:val="0"/>
          <w:strike w:val="0"/>
          <w:u w:val="single"/>
        </w:rPr>
        <w:t xml:space="preserve"> that </w:t>
      </w:r>
      <w:r>
        <w:rPr>
          <w:b/>
          <w:i w:val="0"/>
          <w:smallCaps w:val="0"/>
          <w:strike w:val="0"/>
          <w:u w:val="single"/>
        </w:rPr>
        <w:t xml:space="preserve">regulates the good of the self </w:t>
      </w:r>
      <w:r>
        <w:rPr>
          <w:b w:val="0"/>
          <w:i w:val="0"/>
          <w:smallCaps w:val="0"/>
          <w:strike w:val="0"/>
          <w:u w:val="single"/>
        </w:rPr>
        <w:t xml:space="preserve">in terms of the collectivity. </w:t>
      </w:r>
      <w:r>
        <w:rPr>
          <w:b w:val="0"/>
          <w:i w:val="0"/>
          <w:smallCaps w:val="0"/>
          <w:strike w:val="0"/>
          <w:highlight w:val="cyan"/>
          <w:u w:val="single"/>
        </w:rPr>
        <w:t>Like</w:t>
      </w:r>
      <w:r>
        <w:rPr>
          <w:b w:val="0"/>
          <w:i w:val="0"/>
          <w:smallCaps w:val="0"/>
          <w:strike w:val="0"/>
          <w:u w:val="none"/>
        </w:rPr>
        <w:t xml:space="preserve"> </w:t>
      </w:r>
      <w:r>
        <w:rPr>
          <w:b w:val="0"/>
          <w:i w:val="0"/>
          <w:smallCaps w:val="0"/>
          <w:strike w:val="0"/>
          <w:sz w:val="16"/>
          <w:u w:val="none"/>
        </w:rPr>
        <w:t>the slave woman</w:t>
      </w:r>
      <w:r>
        <w:rPr>
          <w:b w:val="0"/>
          <w:i w:val="0"/>
          <w:smallCaps w:val="0"/>
          <w:strike w:val="0"/>
          <w:u w:val="none"/>
        </w:rPr>
        <w:t xml:space="preserve"> </w:t>
      </w:r>
      <w:r>
        <w:rPr>
          <w:b w:val="0"/>
          <w:i w:val="0"/>
          <w:smallCaps w:val="0"/>
          <w:strike w:val="0"/>
          <w:highlight w:val="cyan"/>
          <w:u w:val="single"/>
        </w:rPr>
        <w:t>Jacobs</w:t>
      </w:r>
      <w:r>
        <w:rPr>
          <w:b w:val="0"/>
          <w:i w:val="0"/>
          <w:smallCaps w:val="0"/>
          <w:strike w:val="0"/>
          <w:u w:val="single"/>
        </w:rPr>
        <w:t xml:space="preserve"> describes as </w:t>
      </w:r>
      <w:r>
        <w:rPr>
          <w:b w:val="0"/>
          <w:i w:val="0"/>
          <w:smallCaps w:val="0"/>
          <w:strike w:val="0"/>
          <w:highlight w:val="cyan"/>
          <w:u w:val="single"/>
        </w:rPr>
        <w:t>invested in a law superior</w:t>
      </w:r>
      <w:r>
        <w:rPr>
          <w:b w:val="0"/>
          <w:i w:val="0"/>
          <w:smallCaps w:val="0"/>
          <w:strike w:val="0"/>
          <w:u w:val="none"/>
        </w:rPr>
        <w:t xml:space="preserve"> </w:t>
      </w:r>
      <w:r>
        <w:rPr>
          <w:b w:val="0"/>
          <w:i w:val="0"/>
          <w:smallCaps w:val="0"/>
          <w:strike w:val="0"/>
          <w:sz w:val="16"/>
          <w:u w:val="none"/>
        </w:rPr>
        <w:t>to the president’s, Antigone appeals to an absolute authority</w:t>
      </w:r>
      <w:r>
        <w:rPr>
          <w:b w:val="0"/>
          <w:i w:val="0"/>
          <w:smallCaps w:val="0"/>
          <w:strike w:val="0"/>
          <w:u w:val="none"/>
        </w:rPr>
        <w:t xml:space="preserve">, </w:t>
      </w:r>
      <w:r>
        <w:rPr>
          <w:b w:val="0"/>
          <w:i w:val="0"/>
          <w:smallCaps w:val="0"/>
          <w:strike w:val="0"/>
          <w:highlight w:val="cyan"/>
          <w:u w:val="single"/>
        </w:rPr>
        <w:t>a Truth, beyond that of the state</w:t>
      </w:r>
      <w:r>
        <w:rPr>
          <w:b w:val="0"/>
          <w:i w:val="0"/>
          <w:smallCaps w:val="0"/>
          <w:strike w:val="0"/>
          <w:sz w:val="16"/>
          <w:u w:val="none"/>
        </w:rPr>
        <w:t>; and as</w:t>
      </w:r>
      <w:r>
        <w:rPr>
          <w:b w:val="0"/>
          <w:i w:val="0"/>
          <w:smallCaps w:val="0"/>
          <w:strike w:val="0"/>
          <w:u w:val="none"/>
        </w:rPr>
        <w:t xml:space="preserve"> </w:t>
      </w:r>
      <w:r>
        <w:rPr>
          <w:b w:val="0"/>
          <w:i w:val="0"/>
          <w:smallCaps w:val="0"/>
          <w:strike w:val="0"/>
          <w:u w:val="single"/>
        </w:rPr>
        <w:t>the slave envisions the “queen of ’Merica” drawing her sword on the president,</w:t>
      </w:r>
      <w:r>
        <w:rPr>
          <w:b w:val="0"/>
          <w:i w:val="0"/>
          <w:smallCaps w:val="0"/>
          <w:strike w:val="0"/>
          <w:u w:val="none"/>
        </w:rPr>
        <w:t xml:space="preserve"> </w:t>
      </w:r>
      <w:r>
        <w:rPr>
          <w:b w:val="0"/>
          <w:i w:val="0"/>
          <w:smallCaps w:val="0"/>
          <w:strike w:val="0"/>
          <w:sz w:val="16"/>
          <w:u w:val="none"/>
        </w:rPr>
        <w:t xml:space="preserve">so Antigone opposes Creon’s law in the name of one unwritten. </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