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Queer creativity is based in the rejection of IPR---plan and aff are incommensurable. </w:t>
      </w:r>
    </w:p>
    <w:p>
      <w:pPr>
        <w:spacing w:after="80"/>
      </w:pPr>
      <w:r>
        <w:rPr>
          <w:b/>
          <w:i w:val="0"/>
          <w:smallCaps w:val="0"/>
          <w:strike w:val="0"/>
          <w:sz w:val="26"/>
          <w:u w:val="none"/>
        </w:rPr>
        <w:t xml:space="preserve">Sarid </w:t>
      </w:r>
      <w:r>
        <w:rPr>
          <w:b/>
          <w:i w:val="0"/>
          <w:smallCaps w:val="0"/>
          <w:strike w:val="0"/>
          <w:sz w:val="26"/>
          <w:u w:val="none"/>
        </w:rPr>
        <w:t>22</w:t>
      </w:r>
      <w:r>
        <w:rPr>
          <w:b w:val="0"/>
          <w:i w:val="0"/>
          <w:smallCaps w:val="0"/>
          <w:strike w:val="0"/>
          <w:u w:val="none"/>
        </w:rPr>
        <w:t xml:space="preserve"> [Eden Sarid</w:t>
      </w:r>
      <w:r>
        <w:rPr>
          <w:b w:val="0"/>
          <w:i w:val="0"/>
          <w:smallCaps w:val="0"/>
          <w:strike w:val="0"/>
          <w:u w:val="none"/>
        </w:rPr>
        <w:t xml:space="preserve"> (</w:t>
      </w:r>
      <w:r>
        <w:rPr>
          <w:b w:val="0"/>
          <w:i w:val="0"/>
          <w:smallCaps w:val="0"/>
          <w:strike w:val="0"/>
          <w:u w:val="none"/>
        </w:rPr>
        <w:t>Senior lecturer at Essex Law School</w:t>
      </w:r>
      <w:r>
        <w:rPr>
          <w:b w:val="0"/>
          <w:i w:val="0"/>
          <w:smallCaps w:val="0"/>
          <w:strike w:val="0"/>
          <w:u w:val="none"/>
        </w:rPr>
        <w:t>)</w:t>
      </w:r>
      <w:r>
        <w:rPr>
          <w:b w:val="0"/>
          <w:i w:val="0"/>
          <w:smallCaps w:val="0"/>
          <w:strike w:val="0"/>
          <w:u w:val="none"/>
        </w:rPr>
        <w:t xml:space="preserve"> April 7, 2022. </w:t>
      </w:r>
      <w:r>
        <w:rPr>
          <w:b w:val="0"/>
          <w:i/>
          <w:smallCaps w:val="0"/>
          <w:strike w:val="0"/>
          <w:u w:val="none"/>
        </w:rPr>
        <w:t>Wisconsin Law Review, Vol. 2022, No. 1, p. 91 (2022)</w:t>
      </w:r>
      <w:r>
        <w:rPr>
          <w:b w:val="0"/>
          <w:i w:val="0"/>
          <w:smallCaps w:val="0"/>
          <w:strike w:val="0"/>
          <w:u w:val="none"/>
        </w:rPr>
        <w:t xml:space="preserve"> “A Queer Analysis of Intellectual Property” </w:t>
      </w:r>
      <w:r>
        <w:rPr>
          <w:b w:val="0"/>
          <w:i w:val="0"/>
          <w:smallCaps w:val="0"/>
          <w:strike w:val="0"/>
          <w:u w:val="none"/>
        </w:rPr>
        <w:t>https://papers.ssrn.com/sol3/papers.cfm?abstract_id=4074825</w:t>
      </w:r>
      <w:r>
        <w:rPr>
          <w:b w:val="0"/>
          <w:i w:val="0"/>
          <w:smallCaps w:val="0"/>
          <w:strike w:val="0"/>
          <w:u w:val="none"/>
        </w:rPr>
        <w:t>; accessed 7</w:t>
      </w:r>
      <w:r>
        <w:rPr>
          <w:b w:val="0"/>
          <w:i w:val="0"/>
          <w:smallCaps w:val="0"/>
          <w:strike w:val="0"/>
          <w:u w:val="none"/>
        </w:rPr>
        <w:t>-</w:t>
      </w:r>
      <w:r>
        <w:rPr>
          <w:b w:val="0"/>
          <w:i w:val="0"/>
          <w:smallCaps w:val="0"/>
          <w:strike w:val="0"/>
          <w:u w:val="none"/>
        </w:rPr>
        <w:t>11</w:t>
      </w:r>
      <w:r>
        <w:rPr>
          <w:b w:val="0"/>
          <w:i w:val="0"/>
          <w:smallCaps w:val="0"/>
          <w:strike w:val="0"/>
          <w:u w:val="none"/>
        </w:rPr>
        <w:t>-</w:t>
      </w:r>
      <w:r>
        <w:rPr>
          <w:b w:val="0"/>
          <w:i w:val="0"/>
          <w:smallCaps w:val="0"/>
          <w:strike w:val="0"/>
          <w:u w:val="none"/>
        </w:rPr>
        <w:t xml:space="preserve">2024] </w:t>
      </w:r>
      <w:r>
        <w:rPr>
          <w:b w:val="0"/>
          <w:i w:val="0"/>
          <w:smallCaps w:val="0"/>
          <w:strike w:val="0"/>
          <w:u w:val="none"/>
        </w:rPr>
        <w:t>//</w:t>
      </w:r>
      <w:r>
        <w:rPr>
          <w:b w:val="0"/>
          <w:i w:val="0"/>
          <w:smallCaps w:val="0"/>
          <w:strike w:val="0"/>
          <w:u w:val="none"/>
        </w:rPr>
        <w:t>elai</w:t>
      </w:r>
    </w:p>
    <w:p>
      <w:pPr>
        <w:spacing w:after="60"/>
      </w:pPr>
      <w:r>
        <w:rPr>
          <w:b w:val="0"/>
          <w:i w:val="0"/>
          <w:smallCaps w:val="0"/>
          <w:strike w:val="0"/>
          <w:u w:val="none"/>
        </w:rPr>
        <w:t xml:space="preserve">Applying queer theory to analyze IP would therefore focus on revealing how </w:t>
      </w:r>
      <w:r>
        <w:rPr>
          <w:b w:val="0"/>
          <w:i w:val="0"/>
          <w:smallCaps w:val="0"/>
          <w:strike w:val="0"/>
          <w:sz w:val="22"/>
          <w:highlight w:val="cyan"/>
          <w:u w:val="single"/>
        </w:rPr>
        <w:t>IP</w:t>
      </w:r>
      <w:r>
        <w:rPr>
          <w:b w:val="0"/>
          <w:i w:val="0"/>
          <w:smallCaps w:val="0"/>
          <w:strike w:val="0"/>
          <w:sz w:val="22"/>
          <w:u w:val="single"/>
        </w:rPr>
        <w:t xml:space="preserve"> doctrine </w:t>
      </w:r>
      <w:r>
        <w:rPr>
          <w:b/>
          <w:i w:val="0"/>
          <w:smallCaps w:val="0"/>
          <w:strike w:val="0"/>
          <w:sz w:val="22"/>
          <w:highlight w:val="cyan"/>
          <w:u w:val="single"/>
        </w:rPr>
        <w:t>foregrounds heteronormative cultural</w:t>
      </w:r>
      <w:r>
        <w:rPr>
          <w:b w:val="0"/>
          <w:i w:val="0"/>
          <w:smallCaps w:val="0"/>
          <w:strike w:val="0"/>
          <w:sz w:val="22"/>
          <w:u w:val="single"/>
        </w:rPr>
        <w:t xml:space="preserve"> and creative </w:t>
      </w:r>
      <w:r>
        <w:rPr>
          <w:b w:val="0"/>
          <w:i w:val="0"/>
          <w:smallCaps w:val="0"/>
          <w:strike w:val="0"/>
          <w:sz w:val="22"/>
          <w:highlight w:val="cyan"/>
          <w:u w:val="single"/>
        </w:rPr>
        <w:t>expression</w:t>
      </w:r>
      <w:r>
        <w:rPr>
          <w:b w:val="0"/>
          <w:i w:val="0"/>
          <w:smallCaps w:val="0"/>
          <w:strike w:val="0"/>
          <w:sz w:val="22"/>
          <w:u w:val="single"/>
        </w:rPr>
        <w:t xml:space="preserve">, privileging a certain dominant culture and </w:t>
      </w:r>
      <w:r>
        <w:rPr>
          <w:b w:val="0"/>
          <w:i w:val="0"/>
          <w:smallCaps w:val="0"/>
          <w:strike w:val="0"/>
          <w:sz w:val="22"/>
          <w:highlight w:val="cyan"/>
          <w:u w:val="single"/>
        </w:rPr>
        <w:t xml:space="preserve">subjugating queer </w:t>
      </w:r>
      <w:r>
        <w:rPr>
          <w:b w:val="0"/>
          <w:i w:val="0"/>
          <w:smallCaps w:val="0"/>
          <w:strike w:val="0"/>
          <w:sz w:val="22"/>
          <w:u w:val="single"/>
        </w:rPr>
        <w:t xml:space="preserve">culture and queer </w:t>
      </w:r>
      <w:r>
        <w:rPr>
          <w:b w:val="0"/>
          <w:i w:val="0"/>
          <w:smallCaps w:val="0"/>
          <w:strike w:val="0"/>
          <w:sz w:val="22"/>
          <w:highlight w:val="cyan"/>
          <w:u w:val="single"/>
        </w:rPr>
        <w:t>communities</w:t>
      </w:r>
      <w:r>
        <w:rPr>
          <w:b w:val="0"/>
          <w:i w:val="0"/>
          <w:smallCaps w:val="0"/>
          <w:strike w:val="0"/>
          <w:sz w:val="22"/>
          <w:u w:val="single"/>
        </w:rPr>
        <w:t xml:space="preserve"> and individuals.</w:t>
      </w:r>
      <w:r>
        <w:rPr>
          <w:b w:val="0"/>
          <w:i w:val="0"/>
          <w:smallCaps w:val="0"/>
          <w:strike w:val="0"/>
          <w:u w:val="none"/>
        </w:rPr>
        <w:t xml:space="preserve"> </w:t>
      </w:r>
      <w:r>
        <w:rPr>
          <w:b w:val="0"/>
          <w:i w:val="0"/>
          <w:smallCaps w:val="0"/>
          <w:strike w:val="0"/>
          <w:sz w:val="22"/>
          <w:u w:val="single"/>
        </w:rPr>
        <w:t xml:space="preserve">Yet another useful methodology for </w:t>
      </w:r>
      <w:r>
        <w:rPr>
          <w:b w:val="0"/>
          <w:i w:val="0"/>
          <w:smallCaps w:val="0"/>
          <w:strike w:val="0"/>
          <w:sz w:val="22"/>
          <w:highlight w:val="cyan"/>
          <w:u w:val="single"/>
        </w:rPr>
        <w:t>queering IP</w:t>
      </w:r>
      <w:r>
        <w:rPr>
          <w:b w:val="0"/>
          <w:i w:val="0"/>
          <w:smallCaps w:val="0"/>
          <w:strike w:val="0"/>
          <w:sz w:val="22"/>
          <w:u w:val="single"/>
        </w:rPr>
        <w:t xml:space="preserve"> is to </w:t>
      </w:r>
      <w:r>
        <w:rPr>
          <w:b w:val="0"/>
          <w:i w:val="0"/>
          <w:smallCaps w:val="0"/>
          <w:strike w:val="0"/>
          <w:sz w:val="22"/>
          <w:highlight w:val="cyan"/>
          <w:u w:val="single"/>
        </w:rPr>
        <w:t xml:space="preserve">explore </w:t>
      </w:r>
      <w:r>
        <w:rPr>
          <w:b w:val="0"/>
          <w:i w:val="0"/>
          <w:smallCaps w:val="0"/>
          <w:strike w:val="0"/>
          <w:sz w:val="22"/>
          <w:u w:val="single"/>
        </w:rPr>
        <w:t xml:space="preserve">and explain </w:t>
      </w:r>
      <w:r>
        <w:rPr>
          <w:b w:val="0"/>
          <w:i w:val="0"/>
          <w:smallCaps w:val="0"/>
          <w:strike w:val="0"/>
          <w:sz w:val="22"/>
          <w:highlight w:val="cyan"/>
          <w:u w:val="single"/>
        </w:rPr>
        <w:t xml:space="preserve">communities and sites in which </w:t>
      </w:r>
      <w:r>
        <w:rPr>
          <w:b/>
          <w:i w:val="0"/>
          <w:smallCaps w:val="0"/>
          <w:strike w:val="0"/>
          <w:sz w:val="22"/>
          <w:highlight w:val="cyan"/>
          <w:u w:val="single"/>
        </w:rPr>
        <w:t>queer creativity thrives</w:t>
      </w:r>
      <w:r>
        <w:rPr>
          <w:b/>
          <w:i w:val="0"/>
          <w:smallCaps w:val="0"/>
          <w:strike w:val="0"/>
          <w:sz w:val="22"/>
          <w:u w:val="single"/>
        </w:rPr>
        <w:t>.</w:t>
      </w:r>
      <w:r>
        <w:rPr>
          <w:b w:val="0"/>
          <w:i w:val="0"/>
          <w:smallCaps w:val="0"/>
          <w:strike w:val="0"/>
          <w:u w:val="none"/>
        </w:rPr>
        <w:t xml:space="preserve"> </w:t>
      </w:r>
      <w:r>
        <w:rPr>
          <w:b w:val="0"/>
          <w:i w:val="0"/>
          <w:smallCaps w:val="0"/>
          <w:strike w:val="0"/>
          <w:sz w:val="22"/>
          <w:u w:val="single"/>
        </w:rPr>
        <w:t xml:space="preserve">Exploring such domains can help in identifying what elements might be essential for queer cultural and creative expressions to thrive, the relationship between IP law and queer creativity, and whether and </w:t>
      </w:r>
      <w:r>
        <w:rPr>
          <w:b/>
          <w:i w:val="0"/>
          <w:smallCaps w:val="0"/>
          <w:strike w:val="0"/>
          <w:sz w:val="22"/>
          <w:u w:val="single"/>
        </w:rPr>
        <w:t xml:space="preserve">how these </w:t>
      </w:r>
      <w:r>
        <w:rPr>
          <w:b/>
          <w:i w:val="0"/>
          <w:smallCaps w:val="0"/>
          <w:strike w:val="0"/>
          <w:sz w:val="22"/>
          <w:highlight w:val="cyan"/>
          <w:u w:val="single"/>
        </w:rPr>
        <w:t>domains of queer creativity challenge IP</w:t>
      </w:r>
      <w:r>
        <w:rPr>
          <w:b w:val="0"/>
          <w:i w:val="0"/>
          <w:smallCaps w:val="0"/>
          <w:strike w:val="0"/>
          <w:u w:val="none"/>
        </w:rPr>
        <w:t xml:space="preserve">. In addition, this methodology provides important evidence in an exploration of the alignment between queer theory and queer cultural expression in practice. This approach adds a new </w:t>
      </w:r>
      <w:r>
        <w:rPr>
          <w:b w:val="0"/>
          <w:i w:val="0"/>
          <w:smallCaps w:val="0"/>
          <w:strike w:val="0"/>
          <w:u w:val="none"/>
        </w:rPr>
        <w:t>and</w:t>
      </w:r>
      <w:r>
        <w:rPr>
          <w:b w:val="0"/>
          <w:i w:val="0"/>
          <w:smallCaps w:val="0"/>
          <w:strike w:val="0"/>
          <w:u w:val="none"/>
        </w:rPr>
        <w:t xml:space="preserve"> important element to commonly used methodologies, as it engages directly with queer creative sites, asking how these domains are constructed and linking the knowledge gained from this inquiry back to the theoretical queer analysis of IP. </w:t>
      </w:r>
      <w:r>
        <w:rPr>
          <w:b w:val="0"/>
          <w:i w:val="0"/>
          <w:smallCaps w:val="0"/>
          <w:strike w:val="0"/>
          <w:sz w:val="22"/>
          <w:highlight w:val="cyan"/>
          <w:u w:val="single"/>
        </w:rPr>
        <w:t>Notable examples of creative domains where queer creativity thrives include drag</w:t>
      </w:r>
      <w:r>
        <w:rPr>
          <w:b w:val="0"/>
          <w:i w:val="0"/>
          <w:smallCaps w:val="0"/>
          <w:strike w:val="0"/>
          <w:sz w:val="22"/>
          <w:u w:val="single"/>
        </w:rPr>
        <w:t xml:space="preserve">, fan fiction, roller derby skating, online gaming, queer cinema, </w:t>
      </w:r>
      <w:r>
        <w:rPr>
          <w:b w:val="0"/>
          <w:i w:val="0"/>
          <w:smallCaps w:val="0"/>
          <w:strike w:val="0"/>
          <w:sz w:val="22"/>
          <w:highlight w:val="cyan"/>
          <w:u w:val="single"/>
        </w:rPr>
        <w:t>queer art festivals, the ballroom scene</w:t>
      </w:r>
      <w:r>
        <w:rPr>
          <w:b w:val="0"/>
          <w:i w:val="0"/>
          <w:smallCaps w:val="0"/>
          <w:strike w:val="0"/>
          <w:sz w:val="22"/>
          <w:u w:val="single"/>
        </w:rPr>
        <w:t>, and queercore (a queer punk subculture).</w:t>
      </w:r>
      <w:r>
        <w:rPr>
          <w:b w:val="0"/>
          <w:i w:val="0"/>
          <w:smallCaps w:val="0"/>
          <w:strike w:val="0"/>
          <w:u w:val="none"/>
        </w:rPr>
        <w:t xml:space="preserve"> </w:t>
      </w:r>
      <w:r>
        <w:rPr>
          <w:b w:val="0"/>
          <w:i w:val="0"/>
          <w:smallCaps w:val="0"/>
          <w:strike w:val="0"/>
          <w:sz w:val="22"/>
          <w:u w:val="single"/>
        </w:rPr>
        <w:t xml:space="preserve">As this Article </w:t>
      </w:r>
      <w:r>
        <w:rPr>
          <w:b w:val="0"/>
          <w:i w:val="0"/>
          <w:smallCaps w:val="0"/>
          <w:strike w:val="0"/>
          <w:sz w:val="22"/>
          <w:u w:val="single"/>
        </w:rPr>
        <w:t xml:space="preserve">illustrates, </w:t>
      </w:r>
      <w:r>
        <w:rPr>
          <w:b w:val="0"/>
          <w:i w:val="0"/>
          <w:smallCaps w:val="0"/>
          <w:strike w:val="0"/>
          <w:sz w:val="22"/>
          <w:highlight w:val="cyan"/>
          <w:u w:val="single"/>
        </w:rPr>
        <w:t>a common feature</w:t>
      </w:r>
      <w:r>
        <w:rPr>
          <w:b w:val="0"/>
          <w:i w:val="0"/>
          <w:smallCaps w:val="0"/>
          <w:strike w:val="0"/>
          <w:sz w:val="22"/>
          <w:u w:val="single"/>
        </w:rPr>
        <w:t xml:space="preserve"> that many of </w:t>
      </w:r>
      <w:r>
        <w:rPr>
          <w:b w:val="0"/>
          <w:i w:val="0"/>
          <w:smallCaps w:val="0"/>
          <w:strike w:val="0"/>
          <w:sz w:val="22"/>
          <w:highlight w:val="cyan"/>
          <w:u w:val="single"/>
        </w:rPr>
        <w:t>these creative</w:t>
      </w:r>
      <w:r>
        <w:rPr>
          <w:b w:val="0"/>
          <w:i w:val="0"/>
          <w:smallCaps w:val="0"/>
          <w:strike w:val="0"/>
          <w:sz w:val="22"/>
          <w:u w:val="single"/>
        </w:rPr>
        <w:t xml:space="preserve"> </w:t>
      </w:r>
      <w:r>
        <w:rPr>
          <w:b w:val="0"/>
          <w:i w:val="0"/>
          <w:smallCaps w:val="0"/>
          <w:strike w:val="0"/>
          <w:sz w:val="22"/>
          <w:highlight w:val="cyan"/>
          <w:u w:val="single"/>
        </w:rPr>
        <w:t>areas share is resistance to, or rejection of, IP law</w:t>
      </w:r>
      <w:r>
        <w:rPr>
          <w:b w:val="0"/>
          <w:i w:val="0"/>
          <w:smallCaps w:val="0"/>
          <w:strike w:val="0"/>
          <w:sz w:val="22"/>
          <w:u w:val="single"/>
        </w:rPr>
        <w:t>, suggesting that the relationship between queer theory, queer creative expression, and IP law is multifaceted</w:t>
      </w:r>
      <w:r>
        <w:rPr>
          <w:b w:val="0"/>
          <w:i w:val="0"/>
          <w:smallCaps w:val="0"/>
          <w:strike w:val="0"/>
          <w:sz w:val="22"/>
          <w:highlight w:val="cyan"/>
          <w:u w:val="single"/>
        </w:rPr>
        <w:t xml:space="preserve">; queer theory aims to </w:t>
      </w:r>
      <w:r>
        <w:rPr>
          <w:b/>
          <w:i w:val="0"/>
          <w:smallCaps w:val="0"/>
          <w:strike w:val="0"/>
          <w:sz w:val="22"/>
          <w:highlight w:val="cyan"/>
          <w:u w:val="single"/>
        </w:rPr>
        <w:t>deconstruct IP law</w:t>
      </w:r>
      <w:r>
        <w:rPr>
          <w:b w:val="0"/>
          <w:i w:val="0"/>
          <w:smallCaps w:val="0"/>
          <w:strike w:val="0"/>
          <w:sz w:val="22"/>
          <w:u w:val="single"/>
        </w:rPr>
        <w:t xml:space="preserve">, </w:t>
      </w:r>
      <w:r>
        <w:rPr>
          <w:b w:val="0"/>
          <w:i w:val="0"/>
          <w:smallCaps w:val="0"/>
          <w:strike w:val="0"/>
          <w:u w:val="none"/>
        </w:rPr>
        <w:t>while at the same time IP law may be an important element in queer creative expression.</w:t>
      </w:r>
      <w:r>
        <w:rPr>
          <w:b w:val="0"/>
          <w:i w:val="0"/>
          <w:smallCaps w:val="0"/>
          <w:strike w:val="0"/>
          <w:u w:val="none"/>
        </w:rPr>
        <w:t xml:space="preserve"> These two methodologies—a queer theoretical appraisal of IP doctrine and a practical examination of creative domains in which queer creativity thrives—suggest new ways to understand IP law and queer creativity. </w:t>
      </w:r>
      <w:r>
        <w:rPr>
          <w:b w:val="0"/>
          <w:i w:val="0"/>
          <w:smallCaps w:val="0"/>
          <w:strike w:val="0"/>
          <w:sz w:val="22"/>
          <w:u w:val="single"/>
        </w:rPr>
        <w:t xml:space="preserve">The methodologies reveal how </w:t>
      </w:r>
      <w:r>
        <w:rPr>
          <w:b w:val="0"/>
          <w:i w:val="0"/>
          <w:smallCaps w:val="0"/>
          <w:strike w:val="0"/>
          <w:sz w:val="22"/>
          <w:highlight w:val="cyan"/>
          <w:u w:val="single"/>
        </w:rPr>
        <w:t>mainstream concepts of normativity</w:t>
      </w:r>
      <w:r>
        <w:rPr>
          <w:b w:val="0"/>
          <w:i w:val="0"/>
          <w:smallCaps w:val="0"/>
          <w:strike w:val="0"/>
          <w:sz w:val="22"/>
          <w:u w:val="single"/>
        </w:rPr>
        <w:t xml:space="preserve">, sexuality, desire, and gender </w:t>
      </w:r>
      <w:r>
        <w:rPr>
          <w:b w:val="0"/>
          <w:i w:val="0"/>
          <w:smallCaps w:val="0"/>
          <w:strike w:val="0"/>
          <w:sz w:val="22"/>
          <w:highlight w:val="cyan"/>
          <w:u w:val="single"/>
        </w:rPr>
        <w:t xml:space="preserve">shape IP doctrine and how </w:t>
      </w:r>
      <w:r>
        <w:rPr>
          <w:b/>
          <w:i w:val="0"/>
          <w:smallCaps w:val="0"/>
          <w:strike w:val="0"/>
          <w:sz w:val="22"/>
          <w:highlight w:val="cyan"/>
          <w:u w:val="single"/>
        </w:rPr>
        <w:t>resistance to IP cultivates queer creative expression</w:t>
      </w:r>
      <w:r>
        <w:rPr>
          <w:b w:val="0"/>
          <w:i w:val="0"/>
          <w:smallCaps w:val="0"/>
          <w:strike w:val="0"/>
          <w:sz w:val="22"/>
          <w:highlight w:val="cyan"/>
          <w:u w:val="single"/>
        </w:rPr>
        <w:t>.</w:t>
      </w:r>
      <w:r>
        <w:rPr>
          <w:b w:val="0"/>
          <w:i w:val="0"/>
          <w:smallCaps w:val="0"/>
          <w:strike w:val="0"/>
          <w:sz w:val="22"/>
          <w:u w:val="single"/>
        </w:rPr>
        <w:t xml:space="preserve"> These </w:t>
      </w:r>
      <w:r>
        <w:rPr>
          <w:b w:val="0"/>
          <w:i w:val="0"/>
          <w:smallCaps w:val="0"/>
          <w:strike w:val="0"/>
          <w:sz w:val="22"/>
          <w:highlight w:val="cyan"/>
          <w:u w:val="single"/>
        </w:rPr>
        <w:t>method</w:t>
      </w:r>
      <w:r>
        <w:rPr>
          <w:b w:val="0"/>
          <w:i w:val="0"/>
          <w:smallCaps w:val="0"/>
          <w:strike w:val="0"/>
          <w:sz w:val="22"/>
          <w:u w:val="single"/>
        </w:rPr>
        <w:t>ologie</w:t>
      </w:r>
      <w:r>
        <w:rPr>
          <w:b w:val="0"/>
          <w:i w:val="0"/>
          <w:smallCaps w:val="0"/>
          <w:strike w:val="0"/>
          <w:sz w:val="22"/>
          <w:highlight w:val="cyan"/>
          <w:u w:val="single"/>
        </w:rPr>
        <w:t>s</w:t>
      </w:r>
      <w:r>
        <w:rPr>
          <w:b w:val="0"/>
          <w:i w:val="0"/>
          <w:smallCaps w:val="0"/>
          <w:strike w:val="0"/>
          <w:sz w:val="22"/>
          <w:u w:val="single"/>
        </w:rPr>
        <w:t xml:space="preserve"> also </w:t>
      </w:r>
      <w:r>
        <w:rPr>
          <w:b/>
          <w:i w:val="0"/>
          <w:smallCaps w:val="0"/>
          <w:strike w:val="0"/>
          <w:sz w:val="22"/>
          <w:highlight w:val="cyan"/>
          <w:u w:val="single"/>
        </w:rPr>
        <w:t>can be useful for other critical approaches in IP scholarship</w:t>
      </w:r>
      <w:r>
        <w:rPr>
          <w:b w:val="0"/>
          <w:i w:val="0"/>
          <w:smallCaps w:val="0"/>
          <w:strike w:val="0"/>
          <w:sz w:val="22"/>
          <w:highlight w:val="cyan"/>
          <w:u w:val="single"/>
        </w:rPr>
        <w:t>, such as those focused on gender, race, socio-economic, and de-colonial contexts.</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