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doesn’t infringe antitrust.</w:t>
      </w:r>
    </w:p>
    <w:p>
      <w:pPr>
        <w:spacing w:after="80"/>
      </w:pPr>
      <w:r>
        <w:rPr>
          <w:b/>
          <w:i w:val="0"/>
          <w:smallCaps w:val="0"/>
          <w:strike w:val="0"/>
          <w:sz w:val="26"/>
          <w:u w:val="none"/>
        </w:rPr>
        <w:t xml:space="preserve">Wu </w:t>
      </w:r>
      <w:r>
        <w:rPr>
          <w:b/>
          <w:i w:val="0"/>
          <w:smallCaps w:val="0"/>
          <w:strike w:val="0"/>
          <w:sz w:val="26"/>
          <w:u w:val="none"/>
        </w:rPr>
        <w:t>’</w:t>
      </w:r>
      <w:r>
        <w:rPr>
          <w:b/>
          <w:i w:val="0"/>
          <w:smallCaps w:val="0"/>
          <w:strike w:val="0"/>
          <w:sz w:val="26"/>
          <w:u w:val="none"/>
        </w:rPr>
        <w:t>20</w:t>
      </w:r>
      <w:r>
        <w:rPr>
          <w:b/>
          <w:i w:val="0"/>
          <w:smallCaps w:val="0"/>
          <w:strike w:val="0"/>
          <w:sz w:val="26"/>
          <w:u w:val="none"/>
        </w:rPr>
        <w:t xml:space="preserve"> </w:t>
      </w:r>
      <w:r>
        <w:rPr>
          <w:b w:val="0"/>
          <w:i w:val="0"/>
          <w:smallCaps w:val="0"/>
          <w:strike w:val="0"/>
          <w:sz w:val="22"/>
          <w:u w:val="none"/>
        </w:rPr>
        <w:t>[Michelle; October 8;</w:t>
      </w:r>
      <w:r>
        <w:rPr>
          <w:b w:val="0"/>
          <w:i w:val="0"/>
          <w:smallCaps w:val="0"/>
          <w:strike w:val="0"/>
          <w:color w:val="1F2021"/>
          <w:sz w:val="21"/>
          <w:u w:val="none"/>
        </w:rPr>
        <w:t xml:space="preserve"> </w:t>
      </w:r>
      <w:r>
        <w:rPr>
          <w:b w:val="0"/>
          <w:i w:val="0"/>
          <w:smallCaps w:val="0"/>
          <w:strike w:val="0"/>
          <w:sz w:val="22"/>
          <w:u w:val="none"/>
        </w:rPr>
        <w:t xml:space="preserve">Researcher at the Georgetown University Law Center, Honors from </w:t>
      </w:r>
      <w:r>
        <w:rPr>
          <w:b w:val="0"/>
          <w:i w:val="0"/>
          <w:smallCaps w:val="0"/>
          <w:strike w:val="0"/>
          <w:sz w:val="22"/>
          <w:u w:val="none"/>
        </w:rPr>
        <w:t>Association of American Law Schools Section on Law Libraries and Legal Information Award for Outstanding Contributions to Teaching and Scholarship</w:t>
      </w:r>
      <w:r>
        <w:rPr>
          <w:b w:val="0"/>
          <w:i w:val="0"/>
          <w:smallCaps w:val="0"/>
          <w:strike w:val="0"/>
          <w:sz w:val="22"/>
          <w:u w:val="none"/>
        </w:rPr>
        <w:t xml:space="preserve">; Georgetown University Law Center, “Restoring the Balance of Copyright: Antitrust, Misuse, and Other Possible Paths to Challenge Inequitable Licensing Practices,” </w:t>
      </w:r>
      <w:r>
        <w:rPr>
          <w:b w:val="0"/>
          <w:i w:val="0"/>
          <w:smallCaps w:val="0"/>
          <w:strike w:val="0"/>
          <w:sz w:val="22"/>
          <w:u w:val="none"/>
        </w:rPr>
        <w:t>https://scholarship.law.georgetown.edu/cgi/viewcontent.cgi?article=3430&amp;context=facpub</w:t>
      </w:r>
      <w:r>
        <w:rPr>
          <w:b w:val="0"/>
          <w:i w:val="0"/>
          <w:smallCaps w:val="0"/>
          <w:strike w:val="0"/>
          <w:sz w:val="22"/>
          <w:u w:val="none"/>
        </w:rPr>
        <w:t>]//av</w:t>
      </w:r>
    </w:p>
    <w:p>
      <w:pPr>
        <w:spacing w:after="60"/>
      </w:pPr>
      <w:r>
        <w:rPr>
          <w:b w:val="0"/>
          <w:i w:val="0"/>
          <w:smallCaps w:val="0"/>
          <w:strike w:val="0"/>
          <w:sz w:val="16"/>
          <w:u w:val="none"/>
        </w:rPr>
        <w:t xml:space="preserve">Antitrust is grounded in the principle that competition is good for the consumer, and that anticompetitive behaviors such as unreasonable restraints of trade, monopolistic conduct, price fixing, and price discrimination are suspect. </w:t>
      </w:r>
      <w:r>
        <w:rPr>
          <w:b w:val="0"/>
          <w:i w:val="0"/>
          <w:smallCaps w:val="0"/>
          <w:strike w:val="0"/>
          <w:sz w:val="22"/>
          <w:u w:val="single"/>
        </w:rPr>
        <w:t>On the surface, intellectual property and antitrust might appear to be inherently incompatible</w:t>
      </w:r>
      <w:r>
        <w:rPr>
          <w:b w:val="0"/>
          <w:i w:val="0"/>
          <w:smallCaps w:val="0"/>
          <w:strike w:val="0"/>
          <w:sz w:val="16"/>
          <w:u w:val="none"/>
        </w:rPr>
        <w:t xml:space="preserve">. After all, prevention of monopolistic conduct is an explicit antitrust purpose,62 where stopping such conduct is seen as “protect[ing] the process of competition for the benefit of consumers, making sure there are strong incentives for businesses to operate efficiently, keep prices down, and keep quality up.”63 </w:t>
      </w:r>
      <w:r>
        <w:rPr>
          <w:b w:val="0"/>
          <w:i w:val="0"/>
          <w:smallCaps w:val="0"/>
          <w:strike w:val="0"/>
          <w:sz w:val="22"/>
          <w:u w:val="single"/>
        </w:rPr>
        <w:t xml:space="preserve">On the other hand, </w:t>
      </w:r>
      <w:r>
        <w:rPr>
          <w:b/>
          <w:i w:val="0"/>
          <w:smallCaps w:val="0"/>
          <w:strike w:val="0"/>
          <w:sz w:val="24"/>
          <w:highlight w:val="cyan"/>
          <w:u w:val="single"/>
        </w:rPr>
        <w:t>copyright is</w:t>
      </w:r>
      <w:r>
        <w:rPr>
          <w:b w:val="0"/>
          <w:i w:val="0"/>
          <w:smallCaps w:val="0"/>
          <w:strike w:val="0"/>
          <w:sz w:val="22"/>
          <w:u w:val="single"/>
        </w:rPr>
        <w:t xml:space="preserve"> a monopoly </w:t>
      </w:r>
      <w:r>
        <w:rPr>
          <w:b/>
          <w:i w:val="0"/>
          <w:smallCaps w:val="0"/>
          <w:strike w:val="0"/>
          <w:sz w:val="24"/>
          <w:highlight w:val="cyan"/>
          <w:u w:val="single"/>
        </w:rPr>
        <w:t>legitimized by Congress</w:t>
      </w:r>
      <w:r>
        <w:rPr>
          <w:b w:val="0"/>
          <w:i w:val="0"/>
          <w:smallCaps w:val="0"/>
          <w:strike w:val="0"/>
          <w:sz w:val="16"/>
          <w:u w:val="none"/>
        </w:rPr>
        <w:t xml:space="preserve">, and as noted in a later section (see Misuse), </w:t>
      </w:r>
      <w:r>
        <w:rPr>
          <w:b w:val="0"/>
          <w:i w:val="0"/>
          <w:smallCaps w:val="0"/>
          <w:strike w:val="0"/>
          <w:sz w:val="22"/>
          <w:highlight w:val="cyan"/>
          <w:u w:val="single"/>
        </w:rPr>
        <w:t xml:space="preserve">courts have </w:t>
      </w:r>
      <w:r>
        <w:rPr>
          <w:b/>
          <w:i w:val="0"/>
          <w:smallCaps w:val="0"/>
          <w:strike w:val="0"/>
          <w:sz w:val="24"/>
          <w:highlight w:val="cyan"/>
          <w:u w:val="single"/>
        </w:rPr>
        <w:t>no expectations</w:t>
      </w:r>
      <w:r>
        <w:rPr>
          <w:b w:val="0"/>
          <w:i w:val="0"/>
          <w:smallCaps w:val="0"/>
          <w:strike w:val="0"/>
          <w:sz w:val="22"/>
          <w:u w:val="single"/>
        </w:rPr>
        <w:t xml:space="preserve"> that </w:t>
      </w:r>
      <w:r>
        <w:rPr>
          <w:b w:val="0"/>
          <w:i w:val="0"/>
          <w:smallCaps w:val="0"/>
          <w:strike w:val="0"/>
          <w:sz w:val="22"/>
          <w:highlight w:val="cyan"/>
          <w:u w:val="single"/>
        </w:rPr>
        <w:t xml:space="preserve">these </w:t>
      </w:r>
      <w:r>
        <w:rPr>
          <w:b/>
          <w:i w:val="0"/>
          <w:smallCaps w:val="0"/>
          <w:strike w:val="0"/>
          <w:sz w:val="24"/>
          <w:highlight w:val="cyan"/>
          <w:u w:val="single"/>
        </w:rPr>
        <w:t>monopoly</w:t>
      </w:r>
      <w:r>
        <w:rPr>
          <w:b w:val="0"/>
          <w:i w:val="0"/>
          <w:smallCaps w:val="0"/>
          <w:strike w:val="0"/>
          <w:sz w:val="22"/>
          <w:u w:val="single"/>
        </w:rPr>
        <w:t xml:space="preserve"> owners </w:t>
      </w:r>
      <w:r>
        <w:rPr>
          <w:b/>
          <w:i w:val="0"/>
          <w:smallCaps w:val="0"/>
          <w:strike w:val="0"/>
          <w:sz w:val="24"/>
          <w:highlight w:val="cyan"/>
          <w:u w:val="single"/>
        </w:rPr>
        <w:t>foster competition</w:t>
      </w:r>
      <w:r>
        <w:rPr>
          <w:b w:val="0"/>
          <w:i w:val="0"/>
          <w:smallCaps w:val="0"/>
          <w:strike w:val="0"/>
          <w:sz w:val="16"/>
          <w:u w:val="none"/>
        </w:rPr>
        <w:t xml:space="preserve"> or keep costs down. </w:t>
      </w:r>
    </w:p>
    <w:p>
      <w:pPr>
        <w:spacing w:after="60"/>
      </w:pPr>
      <w:r>
        <w:rPr>
          <w:b w:val="0"/>
          <w:i w:val="0"/>
          <w:smallCaps w:val="0"/>
          <w:strike w:val="0"/>
          <w:sz w:val="16"/>
          <w:u w:val="none"/>
        </w:rPr>
        <w:t xml:space="preserve">However, once one takes a look at the actual descriptions within antitrust, it becomes apparent that </w:t>
      </w:r>
      <w:r>
        <w:rPr>
          <w:b w:val="0"/>
          <w:i w:val="0"/>
          <w:smallCaps w:val="0"/>
          <w:strike w:val="0"/>
          <w:sz w:val="22"/>
          <w:u w:val="single"/>
        </w:rPr>
        <w:t xml:space="preserve">the monopolies bestowed by </w:t>
      </w:r>
      <w:r>
        <w:rPr>
          <w:b w:val="0"/>
          <w:i w:val="0"/>
          <w:smallCaps w:val="0"/>
          <w:strike w:val="0"/>
          <w:sz w:val="22"/>
          <w:highlight w:val="cyan"/>
          <w:u w:val="single"/>
        </w:rPr>
        <w:t>copyright</w:t>
      </w:r>
      <w:r>
        <w:rPr>
          <w:b w:val="0"/>
          <w:i w:val="0"/>
          <w:smallCaps w:val="0"/>
          <w:strike w:val="0"/>
          <w:sz w:val="22"/>
          <w:u w:val="single"/>
        </w:rPr>
        <w:t xml:space="preserve"> are </w:t>
      </w:r>
      <w:r>
        <w:rPr>
          <w:b/>
          <w:i w:val="0"/>
          <w:smallCaps w:val="0"/>
          <w:strike w:val="0"/>
          <w:sz w:val="24"/>
          <w:highlight w:val="cyan"/>
          <w:u w:val="single"/>
        </w:rPr>
        <w:t>not</w:t>
      </w:r>
      <w:r>
        <w:rPr>
          <w:b/>
          <w:i w:val="0"/>
          <w:smallCaps w:val="0"/>
          <w:strike w:val="0"/>
          <w:sz w:val="24"/>
          <w:u w:val="single"/>
        </w:rPr>
        <w:t xml:space="preserve"> the same</w:t>
      </w:r>
      <w:r>
        <w:rPr>
          <w:b w:val="0"/>
          <w:i w:val="0"/>
          <w:smallCaps w:val="0"/>
          <w:strike w:val="0"/>
          <w:sz w:val="22"/>
          <w:u w:val="single"/>
        </w:rPr>
        <w:t xml:space="preserve"> as</w:t>
      </w:r>
      <w:r>
        <w:rPr>
          <w:b w:val="0"/>
          <w:i w:val="0"/>
          <w:smallCaps w:val="0"/>
          <w:strike w:val="0"/>
          <w:sz w:val="22"/>
          <w:u w:val="single"/>
        </w:rPr>
        <w:t xml:space="preserve"> the monopolies seen to </w:t>
      </w:r>
      <w:r>
        <w:rPr>
          <w:b w:val="0"/>
          <w:i w:val="0"/>
          <w:smallCaps w:val="0"/>
          <w:strike w:val="0"/>
          <w:sz w:val="22"/>
          <w:highlight w:val="cyan"/>
          <w:u w:val="single"/>
        </w:rPr>
        <w:t>endanger</w:t>
      </w:r>
      <w:r>
        <w:rPr>
          <w:b w:val="0"/>
          <w:i w:val="0"/>
          <w:smallCaps w:val="0"/>
          <w:strike w:val="0"/>
          <w:sz w:val="22"/>
          <w:u w:val="single"/>
        </w:rPr>
        <w:t xml:space="preserve"> the </w:t>
      </w:r>
      <w:r>
        <w:rPr>
          <w:b w:val="0"/>
          <w:i w:val="0"/>
          <w:smallCaps w:val="0"/>
          <w:strike w:val="0"/>
          <w:sz w:val="22"/>
          <w:highlight w:val="cyan"/>
          <w:u w:val="single"/>
        </w:rPr>
        <w:t>economy</w:t>
      </w:r>
      <w:r>
        <w:rPr>
          <w:b w:val="0"/>
          <w:i w:val="0"/>
          <w:smallCaps w:val="0"/>
          <w:strike w:val="0"/>
          <w:sz w:val="16"/>
          <w:u w:val="none"/>
        </w:rPr>
        <w:t xml:space="preserve">. An </w:t>
      </w:r>
      <w:r>
        <w:rPr>
          <w:b/>
          <w:i w:val="0"/>
          <w:smallCaps w:val="0"/>
          <w:strike w:val="0"/>
          <w:sz w:val="24"/>
          <w:highlight w:val="cyan"/>
          <w:u w:val="single"/>
        </w:rPr>
        <w:t>antitrust</w:t>
      </w:r>
      <w:r>
        <w:rPr>
          <w:b w:val="0"/>
          <w:i w:val="0"/>
          <w:smallCaps w:val="0"/>
          <w:strike w:val="0"/>
          <w:sz w:val="22"/>
          <w:highlight w:val="cyan"/>
          <w:u w:val="single"/>
        </w:rPr>
        <w:t xml:space="preserve"> violation</w:t>
      </w:r>
      <w:r>
        <w:rPr>
          <w:b w:val="0"/>
          <w:i w:val="0"/>
          <w:smallCaps w:val="0"/>
          <w:strike w:val="0"/>
          <w:sz w:val="22"/>
          <w:u w:val="single"/>
        </w:rPr>
        <w:t xml:space="preserve"> often </w:t>
      </w:r>
      <w:r>
        <w:rPr>
          <w:b/>
          <w:i w:val="0"/>
          <w:smallCaps w:val="0"/>
          <w:strike w:val="0"/>
          <w:sz w:val="24"/>
          <w:highlight w:val="cyan"/>
          <w:u w:val="single"/>
        </w:rPr>
        <w:t>involves</w:t>
      </w:r>
      <w:r>
        <w:rPr>
          <w:b w:val="0"/>
          <w:i w:val="0"/>
          <w:smallCaps w:val="0"/>
          <w:strike w:val="0"/>
          <w:sz w:val="22"/>
          <w:u w:val="single"/>
        </w:rPr>
        <w:t xml:space="preserve"> an actor </w:t>
      </w:r>
      <w:r>
        <w:rPr>
          <w:b/>
          <w:i w:val="0"/>
          <w:smallCaps w:val="0"/>
          <w:strike w:val="0"/>
          <w:sz w:val="24"/>
          <w:highlight w:val="cyan"/>
          <w:u w:val="single"/>
        </w:rPr>
        <w:t>abusing market power</w:t>
      </w:r>
      <w:r>
        <w:rPr>
          <w:b w:val="0"/>
          <w:i w:val="0"/>
          <w:smallCaps w:val="0"/>
          <w:strike w:val="0"/>
          <w:sz w:val="16"/>
          <w:u w:val="none"/>
        </w:rPr>
        <w:t>, where market power is defined as “</w:t>
      </w:r>
      <w:r>
        <w:rPr>
          <w:b w:val="0"/>
          <w:i w:val="0"/>
          <w:smallCaps w:val="0"/>
          <w:strike w:val="0"/>
          <w:sz w:val="22"/>
          <w:u w:val="single"/>
        </w:rPr>
        <w:t>the ability profitably to maintain prices above</w:t>
      </w:r>
      <w:r>
        <w:rPr>
          <w:b w:val="0"/>
          <w:i w:val="0"/>
          <w:smallCaps w:val="0"/>
          <w:strike w:val="0"/>
          <w:sz w:val="16"/>
          <w:u w:val="none"/>
        </w:rPr>
        <w:t xml:space="preserve">, or output below, competitive levels </w:t>
      </w:r>
      <w:r>
        <w:rPr>
          <w:b w:val="0"/>
          <w:i w:val="0"/>
          <w:smallCaps w:val="0"/>
          <w:strike w:val="0"/>
          <w:sz w:val="22"/>
          <w:u w:val="single"/>
        </w:rPr>
        <w:t>for a significant period of time</w:t>
      </w:r>
      <w:r>
        <w:rPr>
          <w:b w:val="0"/>
          <w:i w:val="0"/>
          <w:smallCaps w:val="0"/>
          <w:strike w:val="0"/>
          <w:sz w:val="16"/>
          <w:u w:val="none"/>
        </w:rPr>
        <w:t xml:space="preserve">.”64 </w:t>
      </w:r>
      <w:r>
        <w:rPr>
          <w:b/>
          <w:i w:val="0"/>
          <w:smallCaps w:val="0"/>
          <w:strike w:val="0"/>
          <w:sz w:val="24"/>
          <w:u w:val="single"/>
        </w:rPr>
        <w:t xml:space="preserve">It is </w:t>
      </w:r>
      <w:r>
        <w:rPr>
          <w:b/>
          <w:i w:val="0"/>
          <w:smallCaps w:val="0"/>
          <w:strike w:val="0"/>
          <w:sz w:val="24"/>
          <w:highlight w:val="cyan"/>
          <w:u w:val="single"/>
        </w:rPr>
        <w:t>unlikely</w:t>
      </w:r>
      <w:r>
        <w:rPr>
          <w:b w:val="0"/>
          <w:i w:val="0"/>
          <w:smallCaps w:val="0"/>
          <w:strike w:val="0"/>
          <w:sz w:val="22"/>
          <w:u w:val="single"/>
        </w:rPr>
        <w:t xml:space="preserve"> that </w:t>
      </w:r>
      <w:r>
        <w:rPr>
          <w:b/>
          <w:i w:val="0"/>
          <w:smallCaps w:val="0"/>
          <w:strike w:val="0"/>
          <w:sz w:val="24"/>
          <w:highlight w:val="cyan"/>
          <w:u w:val="single"/>
        </w:rPr>
        <w:t>an</w:t>
      </w:r>
      <w:r>
        <w:rPr>
          <w:b w:val="0"/>
          <w:i w:val="0"/>
          <w:smallCaps w:val="0"/>
          <w:strike w:val="0"/>
          <w:sz w:val="22"/>
          <w:u w:val="single"/>
        </w:rPr>
        <w:t xml:space="preserve"> individual </w:t>
      </w:r>
      <w:r>
        <w:rPr>
          <w:b/>
          <w:i w:val="0"/>
          <w:smallCaps w:val="0"/>
          <w:strike w:val="0"/>
          <w:sz w:val="24"/>
          <w:highlight w:val="cyan"/>
          <w:u w:val="single"/>
        </w:rPr>
        <w:t>author will</w:t>
      </w:r>
      <w:r>
        <w:rPr>
          <w:b w:val="0"/>
          <w:i w:val="0"/>
          <w:smallCaps w:val="0"/>
          <w:strike w:val="0"/>
          <w:sz w:val="22"/>
          <w:u w:val="single"/>
        </w:rPr>
        <w:t xml:space="preserve"> ever </w:t>
      </w:r>
      <w:r>
        <w:rPr>
          <w:b/>
          <w:i w:val="0"/>
          <w:smallCaps w:val="0"/>
          <w:strike w:val="0"/>
          <w:sz w:val="24"/>
          <w:highlight w:val="cyan"/>
          <w:u w:val="single"/>
        </w:rPr>
        <w:t>hold market power</w:t>
      </w:r>
      <w:r>
        <w:rPr>
          <w:b w:val="0"/>
          <w:i w:val="0"/>
          <w:smallCaps w:val="0"/>
          <w:strike w:val="0"/>
          <w:sz w:val="16"/>
          <w:u w:val="none"/>
        </w:rPr>
        <w:t xml:space="preserve"> such that she would run afoul of antitrust laws. Corporations who own parts of the rights within copyright, though, may engage in behaviors that would draw antitrust scrutiny. Thus, where </w:t>
      </w:r>
      <w:r>
        <w:rPr>
          <w:b/>
          <w:i w:val="0"/>
          <w:smallCaps w:val="0"/>
          <w:strike w:val="0"/>
          <w:sz w:val="24"/>
          <w:u w:val="single"/>
        </w:rPr>
        <w:t>Congressional</w:t>
      </w:r>
      <w:r>
        <w:rPr>
          <w:b w:val="0"/>
          <w:i w:val="0"/>
          <w:smallCaps w:val="0"/>
          <w:strike w:val="0"/>
          <w:sz w:val="22"/>
          <w:u w:val="single"/>
        </w:rPr>
        <w:t xml:space="preserve">-granted </w:t>
      </w:r>
      <w:r>
        <w:rPr>
          <w:b/>
          <w:i w:val="0"/>
          <w:smallCaps w:val="0"/>
          <w:strike w:val="0"/>
          <w:sz w:val="24"/>
          <w:highlight w:val="cyan"/>
          <w:u w:val="single"/>
        </w:rPr>
        <w:t>monopolies</w:t>
      </w:r>
      <w:r>
        <w:rPr>
          <w:b w:val="0"/>
          <w:i w:val="0"/>
          <w:smallCaps w:val="0"/>
          <w:strike w:val="0"/>
          <w:sz w:val="22"/>
          <w:u w:val="single"/>
        </w:rPr>
        <w:t xml:space="preserve"> would </w:t>
      </w:r>
      <w:r>
        <w:rPr>
          <w:b/>
          <w:i w:val="0"/>
          <w:smallCaps w:val="0"/>
          <w:strike w:val="0"/>
          <w:sz w:val="24"/>
          <w:highlight w:val="cyan"/>
          <w:u w:val="single"/>
        </w:rPr>
        <w:t>not</w:t>
      </w:r>
      <w:r>
        <w:rPr>
          <w:b w:val="0"/>
          <w:i w:val="0"/>
          <w:smallCaps w:val="0"/>
          <w:strike w:val="0"/>
          <w:sz w:val="22"/>
          <w:u w:val="single"/>
        </w:rPr>
        <w:t xml:space="preserve"> by themselves </w:t>
      </w:r>
      <w:r>
        <w:rPr>
          <w:b/>
          <w:i w:val="0"/>
          <w:smallCaps w:val="0"/>
          <w:strike w:val="0"/>
          <w:sz w:val="24"/>
          <w:highlight w:val="cyan"/>
          <w:u w:val="single"/>
        </w:rPr>
        <w:t>raise antitrust</w:t>
      </w:r>
      <w:r>
        <w:rPr>
          <w:b w:val="0"/>
          <w:i w:val="0"/>
          <w:smallCaps w:val="0"/>
          <w:strike w:val="0"/>
          <w:sz w:val="22"/>
          <w:highlight w:val="cyan"/>
          <w:u w:val="single"/>
        </w:rPr>
        <w:t xml:space="preserve"> concerns</w:t>
      </w:r>
      <w:r>
        <w:rPr>
          <w:b w:val="0"/>
          <w:i w:val="0"/>
          <w:smallCaps w:val="0"/>
          <w:strike w:val="0"/>
          <w:sz w:val="16"/>
          <w:u w:val="none"/>
        </w:rPr>
        <w:t>, how those monopolies are used might.</w:t>
      </w:r>
    </w:p>
    <w:p>
      <w:pPr>
        <w:spacing w:after="60"/>
      </w:pPr>
      <w:r>
        <w:rPr>
          <w:b w:val="0"/>
          <w:i w:val="0"/>
          <w:smallCaps w:val="0"/>
          <w:strike w:val="0"/>
          <w:sz w:val="16"/>
          <w:u w:val="none"/>
        </w:rPr>
        <w:t>To overcome any misapprehension that IP is immune from antitrust review or that IP monopolies automatically confer market power, the Department of Justice (DOJ) and the Federal Trade Commission (FTC) have articulated the articulate three general principles in assessing antitrust allegations when IP licenses are involved:</w:t>
      </w:r>
    </w:p>
    <w:p>
      <w:pPr>
        <w:spacing w:after="60"/>
      </w:pPr>
      <w:r>
        <w:rPr>
          <w:b w:val="0"/>
          <w:i w:val="0"/>
          <w:smallCaps w:val="0"/>
          <w:strike w:val="0"/>
          <w:sz w:val="16"/>
          <w:u w:val="none"/>
        </w:rPr>
        <w:t xml:space="preserve">(a) for the purpose of antitrust analysis, the Agencies apply the same analysis to conduct involving intellectual property as to conduct involving other forms of property, taking into account the specific characteristics of a particular property right; </w:t>
      </w:r>
    </w:p>
    <w:p>
      <w:pPr>
        <w:spacing w:after="60"/>
      </w:pPr>
      <w:r>
        <w:rPr>
          <w:b w:val="0"/>
          <w:i w:val="0"/>
          <w:smallCaps w:val="0"/>
          <w:strike w:val="0"/>
          <w:sz w:val="16"/>
          <w:u w:val="none"/>
        </w:rPr>
        <w:t xml:space="preserve">(b) the Agencies do not presume that intellectual property creates market power in the antitrust context; and </w:t>
      </w:r>
    </w:p>
    <w:p>
      <w:pPr>
        <w:spacing w:after="60"/>
      </w:pPr>
      <w:r>
        <w:rPr>
          <w:b w:val="0"/>
          <w:i w:val="0"/>
          <w:smallCaps w:val="0"/>
          <w:strike w:val="0"/>
          <w:sz w:val="16"/>
          <w:u w:val="none"/>
        </w:rPr>
        <w:t>(c) the Agencies recognize that intellectual property licensing allows firms to combine complementary factors of production and is generally procompetitive.65</w:t>
      </w:r>
    </w:p>
    <w:p>
      <w:pPr>
        <w:spacing w:after="60"/>
      </w:pPr>
      <w:r>
        <w:rPr>
          <w:b w:val="0"/>
          <w:i w:val="0"/>
          <w:smallCaps w:val="0"/>
          <w:strike w:val="0"/>
          <w:sz w:val="16"/>
          <w:u w:val="none"/>
        </w:rPr>
        <w:t xml:space="preserve">While </w:t>
      </w:r>
      <w:r>
        <w:rPr>
          <w:b w:val="0"/>
          <w:i w:val="0"/>
          <w:smallCaps w:val="0"/>
          <w:strike w:val="0"/>
          <w:sz w:val="22"/>
          <w:u w:val="single"/>
        </w:rPr>
        <w:t xml:space="preserve">these </w:t>
      </w:r>
      <w:r>
        <w:rPr>
          <w:b w:val="0"/>
          <w:i w:val="0"/>
          <w:smallCaps w:val="0"/>
          <w:strike w:val="0"/>
          <w:sz w:val="22"/>
          <w:highlight w:val="cyan"/>
          <w:u w:val="single"/>
        </w:rPr>
        <w:t>principles</w:t>
      </w:r>
      <w:r>
        <w:rPr>
          <w:b w:val="0"/>
          <w:i w:val="0"/>
          <w:smallCaps w:val="0"/>
          <w:strike w:val="0"/>
          <w:sz w:val="16"/>
          <w:u w:val="none"/>
        </w:rPr>
        <w:t xml:space="preserve"> explicitly encompass licenses for all types of intellectual property, it is important to note that the examples it provides throughout </w:t>
      </w:r>
      <w:r>
        <w:rPr>
          <w:b w:val="0"/>
          <w:i w:val="0"/>
          <w:smallCaps w:val="0"/>
          <w:strike w:val="0"/>
          <w:sz w:val="22"/>
          <w:u w:val="single"/>
        </w:rPr>
        <w:t>describe instances where both the licensor and the licensee are commercial actors interested in exploitation of the IP</w:t>
      </w:r>
      <w:r>
        <w:rPr>
          <w:b w:val="0"/>
          <w:i w:val="0"/>
          <w:smallCaps w:val="0"/>
          <w:strike w:val="0"/>
          <w:sz w:val="16"/>
          <w:u w:val="none"/>
        </w:rPr>
        <w:t xml:space="preserve"> in the course of business. They </w:t>
      </w:r>
      <w:r>
        <w:rPr>
          <w:b/>
          <w:i w:val="0"/>
          <w:smallCaps w:val="0"/>
          <w:strike w:val="0"/>
          <w:sz w:val="24"/>
          <w:highlight w:val="cyan"/>
          <w:u w:val="single"/>
        </w:rPr>
        <w:t>lean heavily on patent</w:t>
      </w:r>
      <w:r>
        <w:rPr>
          <w:b w:val="0"/>
          <w:i w:val="0"/>
          <w:smallCaps w:val="0"/>
          <w:strike w:val="0"/>
          <w:sz w:val="22"/>
          <w:u w:val="single"/>
        </w:rPr>
        <w:t xml:space="preserve"> and operational soft</w:t>
      </w:r>
      <w:r>
        <w:rPr>
          <w:b w:val="0"/>
          <w:i w:val="0"/>
          <w:smallCaps w:val="0"/>
          <w:strike w:val="0"/>
          <w:sz w:val="16"/>
          <w:u w:val="none"/>
        </w:rPr>
        <w:t xml:space="preserve">ware, which </w:t>
      </w:r>
      <w:r>
        <w:rPr>
          <w:b w:val="0"/>
          <w:i w:val="0"/>
          <w:smallCaps w:val="0"/>
          <w:strike w:val="0"/>
          <w:sz w:val="22"/>
          <w:highlight w:val="cyan"/>
          <w:u w:val="single"/>
        </w:rPr>
        <w:t xml:space="preserve">have </w:t>
      </w:r>
      <w:r>
        <w:rPr>
          <w:b/>
          <w:i w:val="0"/>
          <w:smallCaps w:val="0"/>
          <w:strike w:val="0"/>
          <w:sz w:val="24"/>
          <w:highlight w:val="cyan"/>
          <w:u w:val="single"/>
        </w:rPr>
        <w:t>significantly different characteristics than</w:t>
      </w:r>
      <w:r>
        <w:rPr>
          <w:b w:val="0"/>
          <w:i w:val="0"/>
          <w:smallCaps w:val="0"/>
          <w:strike w:val="0"/>
          <w:sz w:val="22"/>
          <w:u w:val="single"/>
        </w:rPr>
        <w:t xml:space="preserve"> the types of </w:t>
      </w:r>
      <w:r>
        <w:rPr>
          <w:b/>
          <w:i w:val="0"/>
          <w:smallCaps w:val="0"/>
          <w:strike w:val="0"/>
          <w:sz w:val="24"/>
          <w:highlight w:val="cyan"/>
          <w:u w:val="single"/>
        </w:rPr>
        <w:t>copyright</w:t>
      </w:r>
      <w:r>
        <w:rPr>
          <w:b w:val="0"/>
          <w:i w:val="0"/>
          <w:smallCaps w:val="0"/>
          <w:strike w:val="0"/>
          <w:sz w:val="16"/>
          <w:u w:val="none"/>
        </w:rPr>
        <w:t>ed</w:t>
      </w:r>
      <w:r>
        <w:rPr>
          <w:b w:val="0"/>
          <w:i w:val="0"/>
          <w:smallCaps w:val="0"/>
          <w:strike w:val="0"/>
          <w:sz w:val="16"/>
          <w:u w:val="none"/>
        </w:rPr>
        <w:t xml:space="preserve"> materials that libraries and users license, so the document by itself does not shed a great deal of light on how licenses between other types of actors should be assessed. For that reason, this section relies as much on general antitrust principles as the DOJ/FTC document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