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A.I. innovation</w:t>
      </w:r>
      <w:r>
        <w:rPr>
          <w:b/>
          <w:i w:val="0"/>
          <w:smallCaps w:val="0"/>
          <w:strike w:val="0"/>
          <w:sz w:val="24"/>
          <w:u w:val="none"/>
        </w:rPr>
        <w:t xml:space="preserve"> makes Russian and Chinese subs </w:t>
      </w:r>
      <w:r>
        <w:rPr>
          <w:b/>
          <w:i w:val="0"/>
          <w:smallCaps w:val="0"/>
          <w:strike w:val="0"/>
          <w:sz w:val="24"/>
          <w:u w:val="single"/>
        </w:rPr>
        <w:t>vulnerable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Ben </w:t>
      </w:r>
      <w:r>
        <w:rPr>
          <w:b/>
          <w:i w:val="0"/>
          <w:smallCaps w:val="0"/>
          <w:strike w:val="0"/>
          <w:sz w:val="24"/>
          <w:u w:val="none"/>
        </w:rPr>
        <w:t>Yeldham</w:t>
      </w:r>
      <w:r>
        <w:rPr>
          <w:b/>
          <w:i w:val="0"/>
          <w:smallCaps w:val="0"/>
          <w:strike w:val="0"/>
          <w:sz w:val="24"/>
          <w:u w:val="none"/>
        </w:rPr>
        <w:t xml:space="preserve"> 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postgraduate student in strategic studies at the Australian National University’s Strategic and </w:t>
      </w:r>
      <w:r>
        <w:rPr>
          <w:b w:val="0"/>
          <w:i w:val="0"/>
          <w:smallCaps w:val="0"/>
          <w:strike w:val="0"/>
          <w:sz w:val="16"/>
          <w:u w:val="none"/>
        </w:rPr>
        <w:t>Defence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Studies Centre, 2/11/22, “Ocean Transparency and Australia’s Impact on Nuclear Stability,” https://www.internationalaffairs.org.au/australianoutlook/ocean-transparency-and-australias-impact-on-nuclear-stability/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increased focus on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critical technologies such as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quantum computing,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further breakthroughs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ASW technologies are likely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current development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/>
          <w:i w:val="0"/>
          <w:smallCaps w:val="0"/>
          <w:strike w:val="0"/>
          <w:sz w:val="20"/>
          <w:u w:val="single"/>
        </w:rPr>
        <w:t xml:space="preserve"> and sensor technology for ocean monitoring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well as advancements in underwater communications,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will likely assist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making the ocean “transparent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2050. This is highly concerning, 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gaining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ability to track and surveil strategic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sub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marine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will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significantly reduce confidence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nuclear-armed states’ second-strike capability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