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Testing epistemology is key.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Stein 19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[Sharon Stein (), “Beyond Higher Education as We Know it: Gesturing Towards Decolonial Horizons of Possibility,” Studies in Philosophy and Education, https://link.springer.com/article/10.1007/s11217-018-9622-7, 2019]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Within a sedimented field-imaginary,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knowledge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produced through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set of taken for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granted epistemological norms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conceptual-ideological assemblages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other words,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general terms of what it is possible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do,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 think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are set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yet our awareness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terms themselves (and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their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impact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on the knowledge that we produce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is dull</w:t>
      </w:r>
      <w:r>
        <w:rPr>
          <w:b w:val="0"/>
          <w:i w:val="0"/>
          <w:smallCaps w:val="0"/>
          <w:strike w:val="0"/>
          <w:sz w:val="16"/>
          <w:u w:val="none"/>
        </w:rPr>
        <w:t>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the contextual conditions of its emergence disappear from view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a result,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we do 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often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think to ask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whether the questions that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orient our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field-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imaginary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still the questions that need asking, and whether the terms of our scholarly conversations are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adequate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task of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responding to contemporary ethical–political challenges</w:t>
      </w:r>
      <w:r>
        <w:rPr>
          <w:b w:val="0"/>
          <w:i w:val="0"/>
          <w:smallCaps w:val="0"/>
          <w:strike w:val="0"/>
          <w:sz w:val="16"/>
          <w:u w:val="none"/>
        </w:rPr>
        <w:t>. Scott (2004) thus asks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whether the moment of normalization of a paradigm is not also the moment when it 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necessary to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reconstruct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reinterrogate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the ground of questions themselves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through which it was brought into being in the first place</w:t>
      </w:r>
      <w:r>
        <w:rPr>
          <w:b w:val="0"/>
          <w:i w:val="0"/>
          <w:smallCaps w:val="0"/>
          <w:strike w:val="0"/>
          <w:sz w:val="16"/>
          <w:u w:val="none"/>
        </w:rPr>
        <w:t>” (p. 8).</w:t>
      </w:r>
    </w:p>
    <w:p>
      <w:pPr>
        <w:pStyle w:val="Caption"/>
      </w:pPr>
      <w:r>
        <w:t>Source: K Aff Supplement - Michigan 7 2024 CFMP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